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Pr="006B6915" w:rsidRDefault="007E3A67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DED" w:rsidRPr="006B6915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Pr="006B6915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15">
        <w:rPr>
          <w:rFonts w:ascii="Times New Roman" w:hAnsi="Times New Roman" w:cs="Times New Roman"/>
          <w:b/>
          <w:sz w:val="28"/>
          <w:szCs w:val="28"/>
        </w:rPr>
        <w:t xml:space="preserve">по результатам оценки эффективности налоговых расходов </w:t>
      </w:r>
      <w:r w:rsidR="008C7E0E">
        <w:rPr>
          <w:rFonts w:ascii="Times New Roman" w:hAnsi="Times New Roman" w:cs="Times New Roman"/>
          <w:b/>
          <w:sz w:val="28"/>
          <w:szCs w:val="28"/>
        </w:rPr>
        <w:t xml:space="preserve">Партизанского городского округа </w:t>
      </w:r>
      <w:r w:rsidRPr="006B6915">
        <w:rPr>
          <w:rFonts w:ascii="Times New Roman" w:hAnsi="Times New Roman" w:cs="Times New Roman"/>
          <w:b/>
          <w:sz w:val="28"/>
          <w:szCs w:val="28"/>
        </w:rPr>
        <w:t>за 20</w:t>
      </w:r>
      <w:r w:rsidR="008E6E3B" w:rsidRPr="006B6915">
        <w:rPr>
          <w:rFonts w:ascii="Times New Roman" w:hAnsi="Times New Roman" w:cs="Times New Roman"/>
          <w:b/>
          <w:sz w:val="28"/>
          <w:szCs w:val="28"/>
        </w:rPr>
        <w:t>2</w:t>
      </w:r>
      <w:r w:rsidR="00C1000D">
        <w:rPr>
          <w:rFonts w:ascii="Times New Roman" w:hAnsi="Times New Roman" w:cs="Times New Roman"/>
          <w:b/>
          <w:sz w:val="28"/>
          <w:szCs w:val="28"/>
        </w:rPr>
        <w:t>4</w:t>
      </w:r>
      <w:r w:rsidRPr="006B691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5DED" w:rsidRPr="006B6915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Pr="006B6915" w:rsidRDefault="00005D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91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 w:rsidRPr="006B6915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6B6915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="003A38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4791" w:rsidRPr="006B6915">
        <w:rPr>
          <w:rFonts w:ascii="Times New Roman" w:hAnsi="Times New Roman" w:cs="Times New Roman"/>
          <w:sz w:val="28"/>
          <w:szCs w:val="28"/>
        </w:rPr>
        <w:t>округа</w:t>
      </w:r>
      <w:r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3A38CB">
        <w:rPr>
          <w:rFonts w:ascii="Times New Roman" w:hAnsi="Times New Roman" w:cs="Times New Roman"/>
          <w:sz w:val="28"/>
          <w:szCs w:val="28"/>
        </w:rPr>
        <w:t>город Партизанск</w:t>
      </w:r>
      <w:r w:rsidR="001059D8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4D1239" w:rsidRPr="006B6915">
        <w:rPr>
          <w:rFonts w:ascii="Times New Roman" w:hAnsi="Times New Roman" w:cs="Times New Roman"/>
          <w:sz w:val="28"/>
          <w:szCs w:val="28"/>
        </w:rPr>
        <w:t>п</w:t>
      </w:r>
      <w:r w:rsidRPr="006B6915">
        <w:rPr>
          <w:rFonts w:ascii="Times New Roman" w:hAnsi="Times New Roman" w:cs="Times New Roman"/>
          <w:sz w:val="28"/>
          <w:szCs w:val="28"/>
        </w:rPr>
        <w:t xml:space="preserve">о местным налогам, установленным Думой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4791" w:rsidRPr="006B6915">
        <w:rPr>
          <w:rFonts w:ascii="Times New Roman" w:hAnsi="Times New Roman" w:cs="Times New Roman"/>
          <w:sz w:val="28"/>
          <w:szCs w:val="28"/>
        </w:rPr>
        <w:t>округа</w:t>
      </w:r>
      <w:r w:rsidR="0066523D">
        <w:rPr>
          <w:rFonts w:ascii="Times New Roman" w:hAnsi="Times New Roman" w:cs="Times New Roman"/>
          <w:sz w:val="28"/>
          <w:szCs w:val="28"/>
        </w:rPr>
        <w:t xml:space="preserve"> город Партизанск</w:t>
      </w:r>
      <w:r w:rsidRPr="006B6915">
        <w:rPr>
          <w:rFonts w:ascii="Times New Roman" w:hAnsi="Times New Roman" w:cs="Times New Roman"/>
          <w:sz w:val="28"/>
          <w:szCs w:val="28"/>
        </w:rPr>
        <w:t xml:space="preserve">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 w:rsidRPr="006B6915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 w:rsidRPr="006B691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6523D">
        <w:rPr>
          <w:rFonts w:ascii="Times New Roman" w:hAnsi="Times New Roman" w:cs="Times New Roman"/>
          <w:sz w:val="28"/>
          <w:szCs w:val="28"/>
        </w:rPr>
        <w:t xml:space="preserve">город Партизанск Приморского края </w:t>
      </w:r>
      <w:r w:rsidR="00D53D6A" w:rsidRPr="00D53D6A">
        <w:rPr>
          <w:rFonts w:ascii="Times New Roman" w:hAnsi="Times New Roman" w:cs="Times New Roman"/>
          <w:sz w:val="28"/>
          <w:szCs w:val="28"/>
        </w:rPr>
        <w:t xml:space="preserve"> </w:t>
      </w:r>
      <w:r w:rsidRPr="006B6915">
        <w:rPr>
          <w:rFonts w:ascii="Times New Roman" w:hAnsi="Times New Roman" w:cs="Times New Roman"/>
          <w:sz w:val="28"/>
          <w:szCs w:val="28"/>
        </w:rPr>
        <w:t>от</w:t>
      </w:r>
      <w:r w:rsidR="00916E0B">
        <w:rPr>
          <w:rFonts w:ascii="Times New Roman" w:hAnsi="Times New Roman" w:cs="Times New Roman"/>
          <w:sz w:val="28"/>
          <w:szCs w:val="28"/>
        </w:rPr>
        <w:t xml:space="preserve"> </w:t>
      </w:r>
      <w:r w:rsidR="0066523D">
        <w:rPr>
          <w:rFonts w:ascii="Times New Roman" w:hAnsi="Times New Roman" w:cs="Times New Roman"/>
          <w:sz w:val="28"/>
          <w:szCs w:val="28"/>
        </w:rPr>
        <w:t xml:space="preserve">16 </w:t>
      </w:r>
      <w:r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66523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B6915">
        <w:rPr>
          <w:rFonts w:ascii="Times New Roman" w:hAnsi="Times New Roman" w:cs="Times New Roman"/>
          <w:sz w:val="28"/>
          <w:szCs w:val="28"/>
        </w:rPr>
        <w:t xml:space="preserve"> 20</w:t>
      </w:r>
      <w:r w:rsidR="0066523D">
        <w:rPr>
          <w:rFonts w:ascii="Times New Roman" w:hAnsi="Times New Roman" w:cs="Times New Roman"/>
          <w:sz w:val="28"/>
          <w:szCs w:val="28"/>
        </w:rPr>
        <w:t>26</w:t>
      </w:r>
      <w:r w:rsidRPr="006B69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23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6915">
        <w:rPr>
          <w:rFonts w:ascii="Times New Roman" w:hAnsi="Times New Roman" w:cs="Times New Roman"/>
          <w:sz w:val="28"/>
          <w:szCs w:val="28"/>
        </w:rPr>
        <w:t xml:space="preserve"> № </w:t>
      </w:r>
      <w:r w:rsidR="0066523D">
        <w:rPr>
          <w:rFonts w:ascii="Times New Roman" w:hAnsi="Times New Roman" w:cs="Times New Roman"/>
          <w:sz w:val="28"/>
          <w:szCs w:val="28"/>
        </w:rPr>
        <w:t xml:space="preserve">226 </w:t>
      </w:r>
      <w:r w:rsidRPr="006B6915">
        <w:rPr>
          <w:rFonts w:ascii="Times New Roman" w:hAnsi="Times New Roman" w:cs="Times New Roman"/>
          <w:sz w:val="28"/>
          <w:szCs w:val="28"/>
        </w:rPr>
        <w:t>-па «Об утверждении Порядка оценки налоговых расходов и Порядка формирования</w:t>
      </w:r>
      <w:proofErr w:type="gramEnd"/>
      <w:r w:rsidRPr="006B6915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924791" w:rsidRPr="006B6915">
        <w:rPr>
          <w:rFonts w:ascii="Times New Roman" w:hAnsi="Times New Roman" w:cs="Times New Roman"/>
          <w:sz w:val="28"/>
          <w:szCs w:val="28"/>
        </w:rPr>
        <w:t>н</w:t>
      </w:r>
      <w:r w:rsidRPr="006B6915">
        <w:rPr>
          <w:rFonts w:ascii="Times New Roman" w:hAnsi="Times New Roman" w:cs="Times New Roman"/>
          <w:sz w:val="28"/>
          <w:szCs w:val="28"/>
        </w:rPr>
        <w:t xml:space="preserve">алоговых расходов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>округа</w:t>
      </w:r>
      <w:r w:rsidR="0066523D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6B6915">
        <w:rPr>
          <w:rFonts w:ascii="Times New Roman" w:hAnsi="Times New Roman" w:cs="Times New Roman"/>
          <w:sz w:val="28"/>
          <w:szCs w:val="28"/>
        </w:rPr>
        <w:t>».</w:t>
      </w:r>
    </w:p>
    <w:p w:rsidR="00CE53C8" w:rsidRPr="006B6915" w:rsidRDefault="00CE53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 xml:space="preserve">Целью проведения оценки эффективности налоговых расходов является выработка рекомендаций о сохранении или об отмене налоговых расходов, выявление неэффективных налоговых расходов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48FE" w:rsidRPr="006B6915">
        <w:rPr>
          <w:rFonts w:ascii="Times New Roman" w:hAnsi="Times New Roman" w:cs="Times New Roman"/>
          <w:sz w:val="28"/>
          <w:szCs w:val="28"/>
        </w:rPr>
        <w:t>округа</w:t>
      </w:r>
      <w:r w:rsidR="0066523D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AD48FE" w:rsidRPr="006B6915">
        <w:rPr>
          <w:rFonts w:ascii="Times New Roman" w:hAnsi="Times New Roman" w:cs="Times New Roman"/>
          <w:sz w:val="28"/>
          <w:szCs w:val="28"/>
        </w:rPr>
        <w:t>.</w:t>
      </w:r>
    </w:p>
    <w:p w:rsidR="00B143E8" w:rsidRPr="006B6915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915">
        <w:rPr>
          <w:rFonts w:ascii="Times New Roman" w:hAnsi="Times New Roman" w:cs="Times New Roman"/>
          <w:sz w:val="28"/>
          <w:szCs w:val="28"/>
        </w:rPr>
        <w:t xml:space="preserve">Для проведения оценки эффективности налоговых расходов использовались данные, предоставленные МИ ФНС России № 16 по Приморскому краю о </w:t>
      </w:r>
      <w:r w:rsidR="0066523D">
        <w:rPr>
          <w:rFonts w:ascii="Times New Roman" w:hAnsi="Times New Roman" w:cs="Times New Roman"/>
          <w:sz w:val="28"/>
          <w:szCs w:val="28"/>
        </w:rPr>
        <w:t xml:space="preserve">категориях налогоплательщиков, воспользовавшихся льготами по уплате налогов, предоставленных в соответствии с нормативными правовыми актами для проведения оценки эффективности </w:t>
      </w:r>
      <w:r w:rsidRPr="006B6915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6523D">
        <w:rPr>
          <w:rFonts w:ascii="Times New Roman" w:hAnsi="Times New Roman" w:cs="Times New Roman"/>
          <w:sz w:val="28"/>
          <w:szCs w:val="28"/>
        </w:rPr>
        <w:t xml:space="preserve">город Партизанск Приморского края </w:t>
      </w:r>
      <w:r w:rsidRPr="006B6915">
        <w:rPr>
          <w:rFonts w:ascii="Times New Roman" w:hAnsi="Times New Roman" w:cs="Times New Roman"/>
          <w:sz w:val="28"/>
          <w:szCs w:val="28"/>
        </w:rPr>
        <w:t>(категория налогоплательщиков, сумма выпадающих доходов и количество налогоплательщиков, воспользовавшихся льготами).</w:t>
      </w:r>
      <w:proofErr w:type="gramEnd"/>
    </w:p>
    <w:p w:rsidR="00E001C8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проводилась в отношении:</w:t>
      </w:r>
    </w:p>
    <w:p w:rsidR="00AA4A53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-налога на имущество физических лиц;</w:t>
      </w:r>
    </w:p>
    <w:p w:rsidR="00AA4A53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B143E8" w:rsidRPr="006B6915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Действующие в 202</w:t>
      </w:r>
      <w:r w:rsidR="00C02307">
        <w:rPr>
          <w:rFonts w:ascii="Times New Roman" w:hAnsi="Times New Roman" w:cs="Times New Roman"/>
          <w:sz w:val="28"/>
          <w:szCs w:val="28"/>
        </w:rPr>
        <w:t>4</w:t>
      </w:r>
      <w:r w:rsidRPr="006B6915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="00665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>округа</w:t>
      </w:r>
      <w:r w:rsidR="0066523D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 </w:t>
      </w:r>
      <w:r w:rsidRPr="006B6915">
        <w:rPr>
          <w:rFonts w:ascii="Times New Roman" w:hAnsi="Times New Roman" w:cs="Times New Roman"/>
          <w:sz w:val="28"/>
          <w:szCs w:val="28"/>
        </w:rPr>
        <w:t xml:space="preserve"> налоговые расходы, подлежащие оценке, были установлены следующими нормативными правовыми актами:</w:t>
      </w:r>
    </w:p>
    <w:p w:rsidR="00B143E8" w:rsidRPr="006B6915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 xml:space="preserve">- решение Думы </w:t>
      </w:r>
      <w:r w:rsidR="00F55C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>округа</w:t>
      </w:r>
      <w:r w:rsidR="00F55CA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 </w:t>
      </w:r>
      <w:r w:rsidRPr="006B6915">
        <w:rPr>
          <w:rFonts w:ascii="Times New Roman" w:hAnsi="Times New Roman" w:cs="Times New Roman"/>
          <w:sz w:val="28"/>
          <w:szCs w:val="28"/>
        </w:rPr>
        <w:t xml:space="preserve"> от 07.11.2019 № 156-Р «О налоге на имущество физических лиц»;</w:t>
      </w:r>
    </w:p>
    <w:p w:rsidR="001618DB" w:rsidRPr="006B6915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 xml:space="preserve">- решение Думы </w:t>
      </w:r>
      <w:r w:rsidR="00F55C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691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55CA4">
        <w:rPr>
          <w:rFonts w:ascii="Times New Roman" w:hAnsi="Times New Roman" w:cs="Times New Roman"/>
          <w:sz w:val="28"/>
          <w:szCs w:val="28"/>
        </w:rPr>
        <w:t xml:space="preserve">город Партизанск Приморского края </w:t>
      </w:r>
      <w:r w:rsidRPr="006B6915">
        <w:rPr>
          <w:rFonts w:ascii="Times New Roman" w:hAnsi="Times New Roman" w:cs="Times New Roman"/>
          <w:sz w:val="28"/>
          <w:szCs w:val="28"/>
        </w:rPr>
        <w:t>от 28.10.2005 № 238 «О земельном налоге».</w:t>
      </w:r>
    </w:p>
    <w:p w:rsidR="00307A55" w:rsidRPr="006B6915" w:rsidRDefault="00924791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Сумма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предоставленных налоговых расходов </w:t>
      </w:r>
      <w:r w:rsidR="00307A55" w:rsidRPr="006B69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16E0B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="00F92E92" w:rsidRPr="006B6915">
        <w:rPr>
          <w:rFonts w:ascii="Times New Roman" w:hAnsi="Times New Roman" w:cs="Times New Roman"/>
          <w:sz w:val="28"/>
          <w:szCs w:val="28"/>
        </w:rPr>
        <w:t>в 202</w:t>
      </w:r>
      <w:r w:rsidR="00C02307">
        <w:rPr>
          <w:rFonts w:ascii="Times New Roman" w:hAnsi="Times New Roman" w:cs="Times New Roman"/>
          <w:sz w:val="28"/>
          <w:szCs w:val="28"/>
        </w:rPr>
        <w:t>4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Pr="006B6915">
        <w:rPr>
          <w:rFonts w:ascii="Times New Roman" w:hAnsi="Times New Roman" w:cs="Times New Roman"/>
          <w:sz w:val="28"/>
          <w:szCs w:val="28"/>
        </w:rPr>
        <w:t>а</w:t>
      </w:r>
      <w:r w:rsidR="00C02307">
        <w:rPr>
          <w:rFonts w:ascii="Times New Roman" w:hAnsi="Times New Roman" w:cs="Times New Roman"/>
          <w:sz w:val="28"/>
          <w:szCs w:val="28"/>
        </w:rPr>
        <w:t xml:space="preserve"> 14 740</w:t>
      </w:r>
      <w:r w:rsidR="008F65E8" w:rsidRPr="006B6915">
        <w:rPr>
          <w:rFonts w:ascii="Times New Roman" w:hAnsi="Times New Roman" w:cs="Times New Roman"/>
          <w:sz w:val="28"/>
          <w:szCs w:val="28"/>
        </w:rPr>
        <w:t>,80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тыс. рублей,  </w:t>
      </w:r>
      <w:r w:rsidRPr="006B6915">
        <w:rPr>
          <w:rFonts w:ascii="Times New Roman" w:hAnsi="Times New Roman" w:cs="Times New Roman"/>
          <w:sz w:val="28"/>
          <w:szCs w:val="28"/>
        </w:rPr>
        <w:t>их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Pr="006B6915">
        <w:rPr>
          <w:rFonts w:ascii="Times New Roman" w:hAnsi="Times New Roman" w:cs="Times New Roman"/>
          <w:sz w:val="28"/>
          <w:szCs w:val="28"/>
        </w:rPr>
        <w:t xml:space="preserve">доля в </w:t>
      </w:r>
      <w:r w:rsidR="006E451C" w:rsidRPr="006B6915">
        <w:rPr>
          <w:rFonts w:ascii="Times New Roman" w:hAnsi="Times New Roman" w:cs="Times New Roman"/>
          <w:sz w:val="28"/>
          <w:szCs w:val="28"/>
        </w:rPr>
        <w:t>объеме налоговых</w:t>
      </w:r>
      <w:r w:rsidRPr="006B6915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AD48FE" w:rsidRPr="006B6915">
        <w:rPr>
          <w:rFonts w:ascii="Times New Roman" w:hAnsi="Times New Roman" w:cs="Times New Roman"/>
          <w:sz w:val="28"/>
          <w:szCs w:val="28"/>
        </w:rPr>
        <w:t>составила</w:t>
      </w:r>
      <w:r w:rsidRPr="006B6915">
        <w:rPr>
          <w:rFonts w:ascii="Times New Roman" w:hAnsi="Times New Roman" w:cs="Times New Roman"/>
          <w:sz w:val="28"/>
          <w:szCs w:val="28"/>
        </w:rPr>
        <w:t xml:space="preserve"> 1,</w:t>
      </w:r>
      <w:r w:rsidR="002348F5">
        <w:rPr>
          <w:rFonts w:ascii="Times New Roman" w:hAnsi="Times New Roman" w:cs="Times New Roman"/>
          <w:sz w:val="28"/>
          <w:szCs w:val="28"/>
        </w:rPr>
        <w:t>52</w:t>
      </w:r>
      <w:r w:rsidRPr="006B6915">
        <w:rPr>
          <w:rFonts w:ascii="Times New Roman" w:hAnsi="Times New Roman" w:cs="Times New Roman"/>
          <w:sz w:val="28"/>
          <w:szCs w:val="28"/>
        </w:rPr>
        <w:t xml:space="preserve">% и </w:t>
      </w:r>
      <w:r w:rsidR="00917849">
        <w:rPr>
          <w:rFonts w:ascii="Times New Roman" w:hAnsi="Times New Roman" w:cs="Times New Roman"/>
          <w:sz w:val="28"/>
          <w:szCs w:val="28"/>
        </w:rPr>
        <w:t>4</w:t>
      </w:r>
      <w:r w:rsidRPr="006B6915">
        <w:rPr>
          <w:rFonts w:ascii="Times New Roman" w:hAnsi="Times New Roman" w:cs="Times New Roman"/>
          <w:sz w:val="28"/>
          <w:szCs w:val="28"/>
        </w:rPr>
        <w:t>6,</w:t>
      </w:r>
      <w:r w:rsidR="00917849">
        <w:rPr>
          <w:rFonts w:ascii="Times New Roman" w:hAnsi="Times New Roman" w:cs="Times New Roman"/>
          <w:sz w:val="28"/>
          <w:szCs w:val="28"/>
        </w:rPr>
        <w:t>87</w:t>
      </w:r>
      <w:r w:rsidRPr="006B6915">
        <w:rPr>
          <w:rFonts w:ascii="Times New Roman" w:hAnsi="Times New Roman" w:cs="Times New Roman"/>
          <w:sz w:val="28"/>
          <w:szCs w:val="28"/>
        </w:rPr>
        <w:t>% в объеме местных налогов.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динамика налоговых расходов</w:t>
      </w: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  <w:gridCol w:w="1666"/>
      </w:tblGrid>
      <w:tr w:rsidR="00924791" w:rsidRPr="00C22F19" w:rsidTr="00924791">
        <w:tc>
          <w:tcPr>
            <w:tcW w:w="817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</w:tcPr>
          <w:p w:rsidR="00924791" w:rsidRPr="001A11BD" w:rsidRDefault="00924791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6" w:type="dxa"/>
          </w:tcPr>
          <w:p w:rsidR="00924791" w:rsidRPr="001A11BD" w:rsidRDefault="00924791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937909" w:rsidRDefault="00924791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924791" w:rsidRPr="00937909" w:rsidRDefault="00924791" w:rsidP="00916E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налоговых и неналоговых доходов бюджета </w:t>
            </w:r>
            <w:r w:rsidR="0091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Партизанского городского округа </w:t>
            </w:r>
            <w:r w:rsidR="00AD48FE"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</w:tcPr>
          <w:p w:rsidR="00924791" w:rsidRPr="00937909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768 893,00</w:t>
            </w:r>
          </w:p>
        </w:tc>
        <w:tc>
          <w:tcPr>
            <w:tcW w:w="1666" w:type="dxa"/>
          </w:tcPr>
          <w:p w:rsidR="00924791" w:rsidRPr="00937909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966 821,97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AD48F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924791" w:rsidRPr="001A11BD" w:rsidRDefault="00AD48FE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Общая сумма налоговых расходов (тыс. рублей)</w:t>
            </w:r>
          </w:p>
        </w:tc>
        <w:tc>
          <w:tcPr>
            <w:tcW w:w="1701" w:type="dxa"/>
          </w:tcPr>
          <w:p w:rsidR="00924791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8 430,80</w:t>
            </w:r>
          </w:p>
        </w:tc>
        <w:tc>
          <w:tcPr>
            <w:tcW w:w="1666" w:type="dxa"/>
          </w:tcPr>
          <w:p w:rsidR="00924791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14 740,80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AD48F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924791" w:rsidRPr="001A11BD" w:rsidRDefault="00AD48FE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к предыдущему году</w:t>
            </w:r>
            <w:proofErr w:type="gramStart"/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24791" w:rsidRPr="001A11BD" w:rsidRDefault="000F0C5F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924791" w:rsidRPr="001A11BD" w:rsidRDefault="0091784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74,84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0F0C5F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924791" w:rsidRPr="001A11BD" w:rsidRDefault="000F0C5F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Доля налоговых расходов </w:t>
            </w:r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>в объеме налоговых и неналоговых доходов</w:t>
            </w:r>
            <w:proofErr w:type="gramStart"/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24791" w:rsidRPr="001A11BD" w:rsidRDefault="00C22F19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924791" w:rsidRPr="001A11BD" w:rsidRDefault="0088464E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937909" w:rsidRDefault="00EA3C8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F0C5F" w:rsidRPr="00937909" w:rsidRDefault="00EA3C86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налога на имущество физических лиц (тыс. рублей)</w:t>
            </w:r>
          </w:p>
        </w:tc>
        <w:tc>
          <w:tcPr>
            <w:tcW w:w="1701" w:type="dxa"/>
          </w:tcPr>
          <w:p w:rsidR="000F0C5F" w:rsidRPr="00937909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16 178,26</w:t>
            </w:r>
          </w:p>
        </w:tc>
        <w:tc>
          <w:tcPr>
            <w:tcW w:w="1666" w:type="dxa"/>
          </w:tcPr>
          <w:p w:rsidR="000F0C5F" w:rsidRPr="00937909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16 320,13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налогу на имущество физических лиц (тыс. рублей)</w:t>
            </w:r>
          </w:p>
        </w:tc>
        <w:tc>
          <w:tcPr>
            <w:tcW w:w="1701" w:type="dxa"/>
          </w:tcPr>
          <w:p w:rsidR="000F0C5F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8 385,00</w:t>
            </w:r>
          </w:p>
        </w:tc>
        <w:tc>
          <w:tcPr>
            <w:tcW w:w="1666" w:type="dxa"/>
          </w:tcPr>
          <w:p w:rsidR="000F0C5F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14 692,00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налогу на имущество физических лиц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0F0C5F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0F0C5F" w:rsidRPr="001A11BD" w:rsidRDefault="0091784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75,22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налогу на имущество физических лиц в объеме поступлений налога на имущество физических лиц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0F0C5F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51,83</w:t>
            </w:r>
          </w:p>
        </w:tc>
        <w:tc>
          <w:tcPr>
            <w:tcW w:w="1666" w:type="dxa"/>
          </w:tcPr>
          <w:p w:rsidR="000F0C5F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90,02</w:t>
            </w:r>
          </w:p>
        </w:tc>
      </w:tr>
      <w:tr w:rsidR="00EA3C86" w:rsidRPr="00E221E6" w:rsidTr="00924791">
        <w:tc>
          <w:tcPr>
            <w:tcW w:w="817" w:type="dxa"/>
          </w:tcPr>
          <w:p w:rsidR="00EA3C86" w:rsidRPr="00937909" w:rsidRDefault="00EA3C8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A3C86" w:rsidRPr="00937909" w:rsidRDefault="00EA3C86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земельного налога с организаций (тыс. рублей)</w:t>
            </w:r>
          </w:p>
        </w:tc>
        <w:tc>
          <w:tcPr>
            <w:tcW w:w="1701" w:type="dxa"/>
          </w:tcPr>
          <w:p w:rsidR="00EA3C86" w:rsidRPr="00E221E6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1E6">
              <w:rPr>
                <w:rFonts w:ascii="Times New Roman" w:hAnsi="Times New Roman" w:cs="Times New Roman"/>
                <w:i/>
                <w:sz w:val="24"/>
                <w:szCs w:val="24"/>
              </w:rPr>
              <w:t>8147,14</w:t>
            </w:r>
          </w:p>
        </w:tc>
        <w:tc>
          <w:tcPr>
            <w:tcW w:w="1666" w:type="dxa"/>
          </w:tcPr>
          <w:p w:rsidR="00EA3C86" w:rsidRPr="00E221E6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1E6">
              <w:rPr>
                <w:rFonts w:ascii="Times New Roman" w:hAnsi="Times New Roman" w:cs="Times New Roman"/>
                <w:i/>
                <w:sz w:val="24"/>
                <w:szCs w:val="24"/>
              </w:rPr>
              <w:t>8 888,01</w:t>
            </w:r>
          </w:p>
        </w:tc>
      </w:tr>
      <w:tr w:rsidR="00EA3C86" w:rsidRPr="00E221E6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земельному налогу с организаций (тыс. рублей)</w:t>
            </w:r>
          </w:p>
        </w:tc>
        <w:tc>
          <w:tcPr>
            <w:tcW w:w="1701" w:type="dxa"/>
          </w:tcPr>
          <w:p w:rsidR="00EA3C86" w:rsidRPr="00E221E6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E6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  <w:tc>
          <w:tcPr>
            <w:tcW w:w="1666" w:type="dxa"/>
          </w:tcPr>
          <w:p w:rsidR="00EA3C86" w:rsidRPr="00E221E6" w:rsidRDefault="00917849" w:rsidP="0091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8464E" w:rsidRPr="00E221E6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EA3C86" w:rsidRPr="00E221E6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земельному налогу с организаций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A3C86" w:rsidRPr="00E221E6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1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EA3C86" w:rsidRPr="00E221E6" w:rsidRDefault="0091784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110,42</w:t>
            </w:r>
          </w:p>
        </w:tc>
      </w:tr>
      <w:tr w:rsidR="00EA3C86" w:rsidRPr="00E221E6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земельному налогу с организаций</w:t>
            </w:r>
            <w:r w:rsidR="00C22F19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поступлений земельного налога с организаций</w:t>
            </w:r>
            <w:proofErr w:type="gramStart"/>
            <w:r w:rsidR="00C22F19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A3C86" w:rsidRPr="00E221E6" w:rsidRDefault="00C22F19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E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221E6" w:rsidRPr="00E221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6" w:type="dxa"/>
          </w:tcPr>
          <w:p w:rsidR="00EA3C86" w:rsidRPr="00E221E6" w:rsidRDefault="00917849" w:rsidP="0091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937909" w:rsidRDefault="00C22F1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A3C86" w:rsidRPr="00937909" w:rsidRDefault="00C22F19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земельного налога с физических лиц (тыс. рублей)</w:t>
            </w:r>
          </w:p>
        </w:tc>
        <w:tc>
          <w:tcPr>
            <w:tcW w:w="1701" w:type="dxa"/>
          </w:tcPr>
          <w:p w:rsidR="00EA3C86" w:rsidRPr="00937909" w:rsidRDefault="00E221E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9178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541,37</w:t>
            </w:r>
          </w:p>
        </w:tc>
        <w:tc>
          <w:tcPr>
            <w:tcW w:w="1666" w:type="dxa"/>
          </w:tcPr>
          <w:p w:rsidR="00EA3C86" w:rsidRPr="00937909" w:rsidRDefault="0091784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6 244,80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87" w:type="dxa"/>
          </w:tcPr>
          <w:p w:rsidR="00EA3C86" w:rsidRPr="001A11BD" w:rsidRDefault="00C22F19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земельному налогу с физических лиц (тыс. рублей)</w:t>
            </w:r>
          </w:p>
        </w:tc>
        <w:tc>
          <w:tcPr>
            <w:tcW w:w="1701" w:type="dxa"/>
          </w:tcPr>
          <w:p w:rsidR="00EA3C86" w:rsidRPr="001A11BD" w:rsidRDefault="00E221E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2F19" w:rsidRPr="001A11B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6" w:type="dxa"/>
          </w:tcPr>
          <w:p w:rsidR="00EA3C86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C22F19" w:rsidRPr="00C22F19" w:rsidTr="00924791">
        <w:tc>
          <w:tcPr>
            <w:tcW w:w="817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87" w:type="dxa"/>
          </w:tcPr>
          <w:p w:rsidR="00C22F19" w:rsidRPr="001A11BD" w:rsidRDefault="00C22F19" w:rsidP="00C2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земельному налогу с физических лиц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C22F19" w:rsidRPr="001A11BD" w:rsidRDefault="0091784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2F19" w:rsidRPr="00C22F19" w:rsidTr="00924791">
        <w:tc>
          <w:tcPr>
            <w:tcW w:w="817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87" w:type="dxa"/>
          </w:tcPr>
          <w:p w:rsidR="00C22F19" w:rsidRPr="001A11BD" w:rsidRDefault="00C22F19" w:rsidP="00C2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земельному налогу с физических лиц в объеме поступлений земельного налога с физических лиц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C22F19" w:rsidRPr="001A11BD" w:rsidRDefault="00C22F19" w:rsidP="00E2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221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C22F19" w:rsidRPr="001A11BD" w:rsidRDefault="0088464E" w:rsidP="0091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9178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24791" w:rsidRPr="00C22F19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178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="00916E0B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действовали следующие </w:t>
      </w:r>
      <w:r w:rsidR="00051143">
        <w:rPr>
          <w:rFonts w:ascii="Times New Roman" w:hAnsi="Times New Roman" w:cs="Times New Roman"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sz w:val="28"/>
          <w:szCs w:val="28"/>
        </w:rPr>
        <w:t>налоговы</w:t>
      </w:r>
      <w:r w:rsidR="000511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5114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1BD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667A">
        <w:rPr>
          <w:rFonts w:ascii="Times New Roman" w:hAnsi="Times New Roman" w:cs="Times New Roman"/>
          <w:sz w:val="28"/>
          <w:szCs w:val="28"/>
        </w:rPr>
        <w:t>14 </w:t>
      </w:r>
      <w:r w:rsidR="00BF0759">
        <w:rPr>
          <w:rFonts w:ascii="Times New Roman" w:hAnsi="Times New Roman" w:cs="Times New Roman"/>
          <w:sz w:val="28"/>
          <w:szCs w:val="28"/>
        </w:rPr>
        <w:t>674</w:t>
      </w:r>
      <w:r w:rsidR="005D667A">
        <w:rPr>
          <w:rFonts w:ascii="Times New Roman" w:hAnsi="Times New Roman" w:cs="Times New Roman"/>
          <w:sz w:val="28"/>
          <w:szCs w:val="28"/>
        </w:rPr>
        <w:t xml:space="preserve">,80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социальные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F0759">
        <w:rPr>
          <w:rFonts w:ascii="Times New Roman" w:hAnsi="Times New Roman" w:cs="Times New Roman"/>
          <w:sz w:val="28"/>
          <w:szCs w:val="28"/>
        </w:rPr>
        <w:t>66</w:t>
      </w:r>
      <w:r w:rsidR="001A11BD">
        <w:rPr>
          <w:rFonts w:ascii="Times New Roman" w:hAnsi="Times New Roman" w:cs="Times New Roman"/>
          <w:sz w:val="28"/>
          <w:szCs w:val="28"/>
        </w:rPr>
        <w:t>,00 тыс. рублей.</w:t>
      </w:r>
    </w:p>
    <w:p w:rsidR="00916E0B" w:rsidRDefault="00916E0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1BD" w:rsidRDefault="001A11B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28D" w:rsidRPr="00705E09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налоговых расходов </w:t>
      </w:r>
    </w:p>
    <w:p w:rsidR="00C975E2" w:rsidRPr="00705E09" w:rsidRDefault="00916E0B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  <w:r w:rsidR="0028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E2" w:rsidRPr="00705E09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5D667A">
        <w:rPr>
          <w:rFonts w:ascii="Times New Roman" w:hAnsi="Times New Roman" w:cs="Times New Roman"/>
          <w:b/>
          <w:sz w:val="28"/>
          <w:szCs w:val="28"/>
        </w:rPr>
        <w:t>3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-202</w:t>
      </w:r>
      <w:r w:rsidR="005D667A">
        <w:rPr>
          <w:rFonts w:ascii="Times New Roman" w:hAnsi="Times New Roman" w:cs="Times New Roman"/>
          <w:b/>
          <w:sz w:val="28"/>
          <w:szCs w:val="28"/>
        </w:rPr>
        <w:t>4</w:t>
      </w:r>
      <w:r w:rsidR="00C975E2" w:rsidRPr="00705E0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ы</w:t>
      </w:r>
      <w:r w:rsidR="00C975E2" w:rsidRPr="00705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5E2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253"/>
        <w:gridCol w:w="1559"/>
        <w:gridCol w:w="1559"/>
        <w:gridCol w:w="1383"/>
      </w:tblGrid>
      <w:tr w:rsidR="00705E09" w:rsidRPr="001E354C" w:rsidTr="001E354C">
        <w:tc>
          <w:tcPr>
            <w:tcW w:w="817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705E09" w:rsidRPr="001E354C" w:rsidRDefault="00705E09" w:rsidP="002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4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05E09" w:rsidRPr="001E354C" w:rsidRDefault="00705E09" w:rsidP="002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4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Отклон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2C6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C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(+;-)</w:t>
            </w:r>
          </w:p>
        </w:tc>
      </w:tr>
      <w:tr w:rsidR="00705E09" w:rsidRPr="001E354C" w:rsidTr="001E354C">
        <w:tc>
          <w:tcPr>
            <w:tcW w:w="817" w:type="dxa"/>
            <w:vMerge w:val="restart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расходы – всего (тыс. рублей)</w:t>
            </w:r>
          </w:p>
        </w:tc>
        <w:tc>
          <w:tcPr>
            <w:tcW w:w="1559" w:type="dxa"/>
          </w:tcPr>
          <w:p w:rsidR="00705E09" w:rsidRPr="001E354C" w:rsidRDefault="005D667A" w:rsidP="00C16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8 430,80</w:t>
            </w:r>
          </w:p>
        </w:tc>
        <w:tc>
          <w:tcPr>
            <w:tcW w:w="1559" w:type="dxa"/>
          </w:tcPr>
          <w:p w:rsidR="00705E09" w:rsidRPr="001E354C" w:rsidRDefault="002348F5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14 740,80</w:t>
            </w:r>
          </w:p>
        </w:tc>
        <w:tc>
          <w:tcPr>
            <w:tcW w:w="1383" w:type="dxa"/>
          </w:tcPr>
          <w:p w:rsidR="00705E09" w:rsidRPr="001E354C" w:rsidRDefault="002348F5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6 310,00</w:t>
            </w:r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DB3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объеме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налоговых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BD">
              <w:rPr>
                <w:rFonts w:ascii="Times New Roman" w:hAnsi="Times New Roman" w:cs="Times New Roman"/>
                <w:sz w:val="24"/>
                <w:szCs w:val="24"/>
              </w:rPr>
              <w:t xml:space="preserve">и неналоговых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6B4B72" w:rsidP="005D66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5D66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05E09" w:rsidRPr="001E354C" w:rsidRDefault="006B4B72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83" w:type="dxa"/>
          </w:tcPr>
          <w:p w:rsidR="00705E09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DB3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объеме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5D667A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26,46</w:t>
            </w:r>
          </w:p>
        </w:tc>
        <w:tc>
          <w:tcPr>
            <w:tcW w:w="1559" w:type="dxa"/>
          </w:tcPr>
          <w:p w:rsidR="00705E09" w:rsidRPr="001E354C" w:rsidRDefault="002348F5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46,87</w:t>
            </w:r>
          </w:p>
        </w:tc>
        <w:tc>
          <w:tcPr>
            <w:tcW w:w="1383" w:type="dxa"/>
          </w:tcPr>
          <w:p w:rsidR="00705E09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 w:val="restart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Стимулирующие налоговые расходы – всего (тыс. рублей)</w:t>
            </w:r>
          </w:p>
        </w:tc>
        <w:tc>
          <w:tcPr>
            <w:tcW w:w="1559" w:type="dxa"/>
          </w:tcPr>
          <w:p w:rsidR="001E354C" w:rsidRPr="003859D4" w:rsidRDefault="005D667A" w:rsidP="005D6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8 361,80</w:t>
            </w:r>
          </w:p>
        </w:tc>
        <w:tc>
          <w:tcPr>
            <w:tcW w:w="1559" w:type="dxa"/>
          </w:tcPr>
          <w:p w:rsidR="001E354C" w:rsidRPr="003859D4" w:rsidRDefault="002348F5" w:rsidP="00BF07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="00BF0759">
              <w:rPr>
                <w:rFonts w:ascii="Times New Roman" w:hAnsi="Times New Roman" w:cs="Times New Roman"/>
                <w:b/>
                <w:sz w:val="24"/>
                <w:szCs w:val="24"/>
              </w:rPr>
              <w:t>674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,80</w:t>
            </w:r>
          </w:p>
        </w:tc>
        <w:tc>
          <w:tcPr>
            <w:tcW w:w="1383" w:type="dxa"/>
          </w:tcPr>
          <w:p w:rsidR="001E354C" w:rsidRPr="003859D4" w:rsidRDefault="00BF075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6 313,00</w:t>
            </w:r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6B4B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</w:t>
            </w:r>
            <w:r w:rsidR="006B4B7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2348F5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99,18</w:t>
            </w:r>
          </w:p>
        </w:tc>
        <w:tc>
          <w:tcPr>
            <w:tcW w:w="1559" w:type="dxa"/>
          </w:tcPr>
          <w:p w:rsidR="001E354C" w:rsidRPr="001E354C" w:rsidRDefault="0048279E" w:rsidP="00BF07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BF07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3" w:type="dxa"/>
          </w:tcPr>
          <w:p w:rsidR="001E354C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2348F5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1559" w:type="dxa"/>
          </w:tcPr>
          <w:p w:rsidR="001E354C" w:rsidRPr="001E354C" w:rsidRDefault="002348F5" w:rsidP="00BF07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BF075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3" w:type="dxa"/>
          </w:tcPr>
          <w:p w:rsidR="001E354C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5108E" w:rsidRPr="001E354C" w:rsidTr="001E354C">
        <w:tc>
          <w:tcPr>
            <w:tcW w:w="817" w:type="dxa"/>
            <w:vMerge w:val="restart"/>
          </w:tcPr>
          <w:p w:rsidR="0005108E" w:rsidRPr="00D063C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05108E" w:rsidRPr="00D063CC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налоговые расходы – всего (тыс. рублей)</w:t>
            </w:r>
          </w:p>
        </w:tc>
        <w:tc>
          <w:tcPr>
            <w:tcW w:w="1559" w:type="dxa"/>
          </w:tcPr>
          <w:p w:rsidR="0005108E" w:rsidRPr="00D063CC" w:rsidRDefault="002348F5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3B424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05108E" w:rsidRPr="00D063CC" w:rsidRDefault="00BF075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205D0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83" w:type="dxa"/>
          </w:tcPr>
          <w:p w:rsidR="0005108E" w:rsidRPr="00D063CC" w:rsidRDefault="00BF0759" w:rsidP="002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-3,00</w:t>
            </w: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 расходов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2348F5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559" w:type="dxa"/>
          </w:tcPr>
          <w:p w:rsidR="0005108E" w:rsidRPr="001E354C" w:rsidRDefault="00205D07" w:rsidP="00BF07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F07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3B4240" w:rsidP="002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348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5108E" w:rsidRPr="001E354C" w:rsidRDefault="00205D07" w:rsidP="00BF07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F07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1A11BD" w:rsidRDefault="001A11B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91" w:rsidRDefault="006B4B72" w:rsidP="00116D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налоговых расходов</w:t>
      </w:r>
      <w:r w:rsidR="00116D91">
        <w:rPr>
          <w:rFonts w:ascii="Times New Roman" w:hAnsi="Times New Roman" w:cs="Times New Roman"/>
          <w:sz w:val="28"/>
          <w:szCs w:val="28"/>
        </w:rPr>
        <w:t xml:space="preserve"> в 202</w:t>
      </w:r>
      <w:r w:rsidR="002348F5">
        <w:rPr>
          <w:rFonts w:ascii="Times New Roman" w:hAnsi="Times New Roman" w:cs="Times New Roman"/>
          <w:sz w:val="28"/>
          <w:szCs w:val="28"/>
        </w:rPr>
        <w:t>4</w:t>
      </w:r>
      <w:r w:rsidR="00116D91">
        <w:rPr>
          <w:rFonts w:ascii="Times New Roman" w:hAnsi="Times New Roman" w:cs="Times New Roman"/>
          <w:sz w:val="28"/>
          <w:szCs w:val="28"/>
        </w:rPr>
        <w:t xml:space="preserve"> году приходится на стимулирующие налоговые расходы (99,</w:t>
      </w:r>
      <w:r w:rsidR="00B0785D">
        <w:rPr>
          <w:rFonts w:ascii="Times New Roman" w:hAnsi="Times New Roman" w:cs="Times New Roman"/>
          <w:sz w:val="28"/>
          <w:szCs w:val="28"/>
        </w:rPr>
        <w:t>55</w:t>
      </w:r>
      <w:r w:rsidR="00116D91">
        <w:rPr>
          <w:rFonts w:ascii="Times New Roman" w:hAnsi="Times New Roman" w:cs="Times New Roman"/>
          <w:sz w:val="28"/>
          <w:szCs w:val="28"/>
        </w:rPr>
        <w:t>%), в составе которых 99,</w:t>
      </w:r>
      <w:r w:rsidR="00ED3D62">
        <w:rPr>
          <w:rFonts w:ascii="Times New Roman" w:hAnsi="Times New Roman" w:cs="Times New Roman"/>
          <w:sz w:val="28"/>
          <w:szCs w:val="28"/>
        </w:rPr>
        <w:t>78</w:t>
      </w:r>
      <w:r w:rsidR="00116D91">
        <w:rPr>
          <w:rFonts w:ascii="Times New Roman" w:hAnsi="Times New Roman" w:cs="Times New Roman"/>
          <w:sz w:val="28"/>
          <w:szCs w:val="28"/>
        </w:rPr>
        <w:t>% - налоговые расходы в связи с применением пониженной ставки по налогу на имущество физиче</w:t>
      </w:r>
      <w:r w:rsidR="0095585D">
        <w:rPr>
          <w:rFonts w:ascii="Times New Roman" w:hAnsi="Times New Roman" w:cs="Times New Roman"/>
          <w:sz w:val="28"/>
          <w:szCs w:val="28"/>
        </w:rPr>
        <w:t>ских лиц и 0,2</w:t>
      </w:r>
      <w:r w:rsidR="00ED3D62">
        <w:rPr>
          <w:rFonts w:ascii="Times New Roman" w:hAnsi="Times New Roman" w:cs="Times New Roman"/>
          <w:sz w:val="28"/>
          <w:szCs w:val="28"/>
        </w:rPr>
        <w:t>2</w:t>
      </w:r>
      <w:r w:rsidR="00116D91">
        <w:rPr>
          <w:rFonts w:ascii="Times New Roman" w:hAnsi="Times New Roman" w:cs="Times New Roman"/>
          <w:sz w:val="28"/>
          <w:szCs w:val="28"/>
        </w:rPr>
        <w:t xml:space="preserve">% налоговые расходы </w:t>
      </w:r>
      <w:r w:rsidR="009F77F3">
        <w:rPr>
          <w:rFonts w:ascii="Times New Roman" w:hAnsi="Times New Roman" w:cs="Times New Roman"/>
          <w:sz w:val="28"/>
          <w:szCs w:val="28"/>
        </w:rPr>
        <w:t>в виде освобождения от уплаты</w:t>
      </w:r>
      <w:r w:rsidR="00116D91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9F77F3">
        <w:rPr>
          <w:rFonts w:ascii="Times New Roman" w:hAnsi="Times New Roman" w:cs="Times New Roman"/>
          <w:sz w:val="28"/>
          <w:szCs w:val="28"/>
        </w:rPr>
        <w:t>го</w:t>
      </w:r>
      <w:r w:rsidR="00116D9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F77F3">
        <w:rPr>
          <w:rFonts w:ascii="Times New Roman" w:hAnsi="Times New Roman" w:cs="Times New Roman"/>
          <w:sz w:val="28"/>
          <w:szCs w:val="28"/>
        </w:rPr>
        <w:t>а</w:t>
      </w:r>
      <w:r w:rsidR="00116D91">
        <w:rPr>
          <w:rFonts w:ascii="Times New Roman" w:hAnsi="Times New Roman" w:cs="Times New Roman"/>
          <w:sz w:val="28"/>
          <w:szCs w:val="28"/>
        </w:rPr>
        <w:t xml:space="preserve"> </w:t>
      </w:r>
      <w:r w:rsidR="009F77F3">
        <w:rPr>
          <w:rFonts w:ascii="Times New Roman" w:hAnsi="Times New Roman" w:cs="Times New Roman"/>
          <w:sz w:val="28"/>
          <w:szCs w:val="28"/>
        </w:rPr>
        <w:t>организац</w:t>
      </w:r>
      <w:r w:rsidR="00116D91">
        <w:rPr>
          <w:rFonts w:ascii="Times New Roman" w:hAnsi="Times New Roman" w:cs="Times New Roman"/>
          <w:sz w:val="28"/>
          <w:szCs w:val="28"/>
        </w:rPr>
        <w:t>ий – резидентов свободного порта Владивосток.</w:t>
      </w:r>
    </w:p>
    <w:p w:rsidR="009F77F3" w:rsidRPr="009F77F3" w:rsidRDefault="009F77F3" w:rsidP="00116D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7F3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расходы:</w:t>
      </w:r>
    </w:p>
    <w:p w:rsidR="00897E34" w:rsidRDefault="004D13A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AB">
        <w:rPr>
          <w:rFonts w:ascii="Times New Roman" w:hAnsi="Times New Roman" w:cs="Times New Roman"/>
          <w:sz w:val="28"/>
          <w:szCs w:val="28"/>
        </w:rPr>
        <w:t>1. Пониженная</w:t>
      </w:r>
      <w:r>
        <w:rPr>
          <w:rFonts w:ascii="Times New Roman" w:hAnsi="Times New Roman" w:cs="Times New Roman"/>
          <w:sz w:val="28"/>
          <w:szCs w:val="28"/>
        </w:rPr>
        <w:t xml:space="preserve"> налоговая ставка налога на имущество физических лиц  в размере </w:t>
      </w:r>
      <w:r w:rsidR="00161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</w:t>
      </w:r>
      <w:r w:rsidR="001618DB">
        <w:rPr>
          <w:rFonts w:ascii="Times New Roman" w:hAnsi="Times New Roman" w:cs="Times New Roman"/>
          <w:sz w:val="28"/>
          <w:szCs w:val="28"/>
        </w:rPr>
        <w:t>в отношении объектов налогообложения, предусмотренных абзацем вторым пункта 10 статьи 378.2</w:t>
      </w:r>
      <w:r w:rsidR="00D93B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897E34">
        <w:rPr>
          <w:rFonts w:ascii="Times New Roman" w:hAnsi="Times New Roman" w:cs="Times New Roman"/>
          <w:sz w:val="28"/>
          <w:szCs w:val="28"/>
        </w:rPr>
        <w:t>.</w:t>
      </w:r>
    </w:p>
    <w:p w:rsidR="004D13AB" w:rsidRPr="00C1000D" w:rsidRDefault="00C569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B29C8">
        <w:rPr>
          <w:rFonts w:ascii="Times New Roman" w:hAnsi="Times New Roman" w:cs="Times New Roman"/>
          <w:sz w:val="28"/>
          <w:szCs w:val="28"/>
        </w:rPr>
        <w:t>2</w:t>
      </w:r>
      <w:r w:rsidR="009558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</w:t>
      </w:r>
      <w:r w:rsidR="005B29C8">
        <w:rPr>
          <w:rFonts w:ascii="Times New Roman" w:hAnsi="Times New Roman" w:cs="Times New Roman"/>
          <w:sz w:val="28"/>
          <w:szCs w:val="28"/>
        </w:rPr>
        <w:t xml:space="preserve">изических лиц воспользовались </w:t>
      </w:r>
      <w:r w:rsidR="0095585D">
        <w:rPr>
          <w:rFonts w:ascii="Times New Roman" w:hAnsi="Times New Roman" w:cs="Times New Roman"/>
          <w:sz w:val="28"/>
          <w:szCs w:val="28"/>
        </w:rPr>
        <w:t xml:space="preserve">234 </w:t>
      </w:r>
      <w:r>
        <w:rPr>
          <w:rFonts w:ascii="Times New Roman" w:hAnsi="Times New Roman" w:cs="Times New Roman"/>
          <w:sz w:val="28"/>
          <w:szCs w:val="28"/>
        </w:rPr>
        <w:t>налогоплательщик</w:t>
      </w:r>
      <w:r w:rsidR="001E7125">
        <w:rPr>
          <w:rFonts w:ascii="Times New Roman" w:hAnsi="Times New Roman" w:cs="Times New Roman"/>
          <w:sz w:val="28"/>
          <w:szCs w:val="28"/>
        </w:rPr>
        <w:t>а</w:t>
      </w:r>
      <w:r w:rsidR="001A11B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E7125">
        <w:rPr>
          <w:rFonts w:ascii="Times New Roman" w:hAnsi="Times New Roman" w:cs="Times New Roman"/>
          <w:sz w:val="28"/>
          <w:szCs w:val="28"/>
        </w:rPr>
        <w:t xml:space="preserve">0,8 </w:t>
      </w:r>
      <w:r w:rsidR="001A11BD">
        <w:rPr>
          <w:rFonts w:ascii="Times New Roman" w:hAnsi="Times New Roman" w:cs="Times New Roman"/>
          <w:sz w:val="28"/>
          <w:szCs w:val="28"/>
        </w:rPr>
        <w:t>% от общего количества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86BCE">
        <w:rPr>
          <w:rFonts w:ascii="Times New Roman" w:hAnsi="Times New Roman" w:cs="Times New Roman"/>
          <w:sz w:val="28"/>
          <w:szCs w:val="28"/>
        </w:rPr>
        <w:t>209</w:t>
      </w:r>
      <w:r w:rsidR="00E76DE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B29C8">
        <w:rPr>
          <w:rFonts w:ascii="Times New Roman" w:hAnsi="Times New Roman" w:cs="Times New Roman"/>
          <w:sz w:val="28"/>
          <w:szCs w:val="28"/>
        </w:rPr>
        <w:t>ов</w:t>
      </w:r>
      <w:r w:rsidR="00E76DE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B29C8">
        <w:rPr>
          <w:rFonts w:ascii="Times New Roman" w:hAnsi="Times New Roman" w:cs="Times New Roman"/>
          <w:sz w:val="28"/>
          <w:szCs w:val="28"/>
        </w:rPr>
        <w:t>.</w:t>
      </w:r>
    </w:p>
    <w:p w:rsidR="00AB1394" w:rsidRPr="00AB1394" w:rsidRDefault="00AB139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расходов бюджета </w:t>
      </w:r>
      <w:r w:rsidR="00286B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86BCE">
        <w:rPr>
          <w:rFonts w:ascii="Times New Roman" w:hAnsi="Times New Roman" w:cs="Times New Roman"/>
          <w:sz w:val="28"/>
          <w:szCs w:val="28"/>
        </w:rPr>
        <w:t xml:space="preserve">город Партизанск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E7125">
        <w:rPr>
          <w:rFonts w:ascii="Times New Roman" w:hAnsi="Times New Roman" w:cs="Times New Roman"/>
          <w:sz w:val="28"/>
          <w:szCs w:val="28"/>
        </w:rPr>
        <w:t>12 194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7125">
        <w:rPr>
          <w:rFonts w:ascii="Times New Roman" w:hAnsi="Times New Roman" w:cs="Times New Roman"/>
          <w:sz w:val="28"/>
          <w:szCs w:val="28"/>
        </w:rPr>
        <w:t>00 тыс. рублей, что составляет 197,47</w:t>
      </w:r>
      <w:r>
        <w:rPr>
          <w:rFonts w:ascii="Times New Roman" w:hAnsi="Times New Roman" w:cs="Times New Roman"/>
          <w:sz w:val="28"/>
          <w:szCs w:val="28"/>
        </w:rPr>
        <w:t>% к уровню 202</w:t>
      </w:r>
      <w:r w:rsidR="001E71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29C8" w:rsidRDefault="005B29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96E1D">
        <w:rPr>
          <w:rFonts w:ascii="Times New Roman" w:hAnsi="Times New Roman" w:cs="Times New Roman"/>
          <w:sz w:val="28"/>
          <w:szCs w:val="28"/>
        </w:rPr>
        <w:t>Пониженная ставка налога на имущество физических лиц в размере 0,3% в отношении прочих объектов налогообложения.</w:t>
      </w:r>
    </w:p>
    <w:p w:rsidR="00A96E1D" w:rsidRDefault="00A96E1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E71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физических лиц воспользовались </w:t>
      </w:r>
      <w:r w:rsidR="001E7125">
        <w:rPr>
          <w:rFonts w:ascii="Times New Roman" w:hAnsi="Times New Roman" w:cs="Times New Roman"/>
          <w:sz w:val="28"/>
          <w:szCs w:val="28"/>
        </w:rPr>
        <w:t xml:space="preserve">577 </w:t>
      </w:r>
      <w:r w:rsidR="006B169D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283569">
        <w:rPr>
          <w:rFonts w:ascii="Times New Roman" w:hAnsi="Times New Roman" w:cs="Times New Roman"/>
          <w:sz w:val="28"/>
          <w:szCs w:val="28"/>
        </w:rPr>
        <w:t>ов</w:t>
      </w:r>
      <w:r w:rsidR="001A11B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0785D">
        <w:rPr>
          <w:rFonts w:ascii="Times New Roman" w:hAnsi="Times New Roman" w:cs="Times New Roman"/>
          <w:sz w:val="28"/>
          <w:szCs w:val="28"/>
        </w:rPr>
        <w:t>1,98</w:t>
      </w:r>
      <w:r w:rsidR="001A11BD">
        <w:rPr>
          <w:rFonts w:ascii="Times New Roman" w:hAnsi="Times New Roman" w:cs="Times New Roman"/>
          <w:sz w:val="28"/>
          <w:szCs w:val="28"/>
        </w:rPr>
        <w:t>% от общего количества налогоплательщиков,</w:t>
      </w:r>
      <w:r w:rsidR="006B169D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F6787">
        <w:rPr>
          <w:rFonts w:ascii="Times New Roman" w:hAnsi="Times New Roman" w:cs="Times New Roman"/>
          <w:sz w:val="28"/>
          <w:szCs w:val="28"/>
        </w:rPr>
        <w:t>678</w:t>
      </w:r>
      <w:r w:rsidR="006B169D" w:rsidRPr="00B078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169D">
        <w:rPr>
          <w:rFonts w:ascii="Times New Roman" w:hAnsi="Times New Roman" w:cs="Times New Roman"/>
          <w:sz w:val="28"/>
          <w:szCs w:val="28"/>
        </w:rPr>
        <w:t>объектов недвижимого имущества.</w:t>
      </w:r>
    </w:p>
    <w:p w:rsidR="00AA12BF" w:rsidRDefault="00AA12BF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расходов бюджета </w:t>
      </w:r>
      <w:r w:rsidR="00286B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86BCE">
        <w:rPr>
          <w:rFonts w:ascii="Times New Roman" w:hAnsi="Times New Roman" w:cs="Times New Roman"/>
          <w:sz w:val="28"/>
          <w:szCs w:val="28"/>
        </w:rPr>
        <w:t xml:space="preserve">город Партизанск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B1394">
        <w:rPr>
          <w:rFonts w:ascii="Times New Roman" w:hAnsi="Times New Roman" w:cs="Times New Roman"/>
          <w:sz w:val="28"/>
          <w:szCs w:val="28"/>
        </w:rPr>
        <w:t xml:space="preserve"> 2 </w:t>
      </w:r>
      <w:r w:rsidR="001E7125">
        <w:rPr>
          <w:rFonts w:ascii="Times New Roman" w:hAnsi="Times New Roman" w:cs="Times New Roman"/>
          <w:sz w:val="28"/>
          <w:szCs w:val="28"/>
        </w:rPr>
        <w:t>449</w:t>
      </w:r>
      <w:r w:rsidR="00A96E1D">
        <w:rPr>
          <w:rFonts w:ascii="Times New Roman" w:hAnsi="Times New Roman" w:cs="Times New Roman"/>
          <w:sz w:val="28"/>
          <w:szCs w:val="28"/>
        </w:rPr>
        <w:t>,0</w:t>
      </w:r>
      <w:r w:rsidR="00A520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</w:t>
      </w:r>
      <w:r w:rsidR="00B0785D">
        <w:rPr>
          <w:rFonts w:ascii="Times New Roman" w:hAnsi="Times New Roman" w:cs="Times New Roman"/>
          <w:sz w:val="28"/>
          <w:szCs w:val="28"/>
        </w:rPr>
        <w:t>120,10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301B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01B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216F3">
        <w:rPr>
          <w:rFonts w:ascii="Times New Roman" w:hAnsi="Times New Roman" w:cs="Times New Roman"/>
          <w:sz w:val="28"/>
          <w:szCs w:val="28"/>
        </w:rPr>
        <w:t>2</w:t>
      </w:r>
      <w:r w:rsidR="00B078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6F3">
        <w:rPr>
          <w:rFonts w:ascii="Times New Roman" w:hAnsi="Times New Roman" w:cs="Times New Roman"/>
          <w:sz w:val="28"/>
          <w:szCs w:val="28"/>
        </w:rPr>
        <w:t>.</w:t>
      </w:r>
    </w:p>
    <w:p w:rsidR="000B5DEC" w:rsidRDefault="00AB139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</w:t>
      </w:r>
      <w:r w:rsidR="000B5DEC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ы в виде пониженных ставок налога на имущество физических лиц</w:t>
      </w:r>
      <w:r w:rsidR="000B5DEC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B5DEC">
        <w:rPr>
          <w:rFonts w:ascii="Times New Roman" w:hAnsi="Times New Roman" w:cs="Times New Roman"/>
          <w:sz w:val="28"/>
          <w:szCs w:val="28"/>
        </w:rPr>
        <w:t>тся востребованн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0B5DEC">
        <w:rPr>
          <w:rFonts w:ascii="Times New Roman" w:hAnsi="Times New Roman" w:cs="Times New Roman"/>
          <w:sz w:val="28"/>
          <w:szCs w:val="28"/>
        </w:rPr>
        <w:t>,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B5DEC">
        <w:rPr>
          <w:rFonts w:ascii="Times New Roman" w:hAnsi="Times New Roman" w:cs="Times New Roman"/>
          <w:sz w:val="28"/>
          <w:szCs w:val="28"/>
        </w:rPr>
        <w:t xml:space="preserve">т </w:t>
      </w:r>
      <w:r w:rsidR="006071AC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социально-экономической политики </w:t>
      </w:r>
      <w:r w:rsidR="00286B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71AC">
        <w:rPr>
          <w:rFonts w:ascii="Times New Roman" w:hAnsi="Times New Roman" w:cs="Times New Roman"/>
          <w:sz w:val="28"/>
          <w:szCs w:val="28"/>
        </w:rPr>
        <w:t>округа</w:t>
      </w:r>
      <w:r w:rsidR="00286BCE">
        <w:rPr>
          <w:rFonts w:ascii="Times New Roman" w:hAnsi="Times New Roman" w:cs="Times New Roman"/>
          <w:sz w:val="28"/>
          <w:szCs w:val="28"/>
        </w:rPr>
        <w:t xml:space="preserve"> город Партизанск</w:t>
      </w:r>
      <w:r w:rsidR="006A5030">
        <w:rPr>
          <w:rFonts w:ascii="Times New Roman" w:hAnsi="Times New Roman" w:cs="Times New Roman"/>
          <w:sz w:val="28"/>
          <w:szCs w:val="28"/>
        </w:rPr>
        <w:t>, предполагающим 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городского округа.</w:t>
      </w:r>
      <w:r w:rsidR="009F77F3">
        <w:rPr>
          <w:rFonts w:ascii="Times New Roman" w:hAnsi="Times New Roman" w:cs="Times New Roman"/>
          <w:sz w:val="28"/>
          <w:szCs w:val="28"/>
        </w:rPr>
        <w:t xml:space="preserve"> Рост количества </w:t>
      </w:r>
      <w:proofErr w:type="gramStart"/>
      <w:r w:rsidR="009F77F3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зарегистрированных на территории </w:t>
      </w:r>
      <w:r w:rsidR="00286B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77F3">
        <w:rPr>
          <w:rFonts w:ascii="Times New Roman" w:hAnsi="Times New Roman" w:cs="Times New Roman"/>
          <w:sz w:val="28"/>
          <w:szCs w:val="28"/>
        </w:rPr>
        <w:t>округа</w:t>
      </w:r>
      <w:r w:rsidR="00286BCE">
        <w:rPr>
          <w:rFonts w:ascii="Times New Roman" w:hAnsi="Times New Roman" w:cs="Times New Roman"/>
          <w:sz w:val="28"/>
          <w:szCs w:val="28"/>
        </w:rPr>
        <w:t xml:space="preserve"> </w:t>
      </w:r>
      <w:r w:rsidR="009F77F3">
        <w:rPr>
          <w:rFonts w:ascii="Times New Roman" w:hAnsi="Times New Roman" w:cs="Times New Roman"/>
          <w:sz w:val="28"/>
          <w:szCs w:val="28"/>
        </w:rPr>
        <w:t xml:space="preserve"> в 202</w:t>
      </w:r>
      <w:r w:rsidR="00B0785D">
        <w:rPr>
          <w:rFonts w:ascii="Times New Roman" w:hAnsi="Times New Roman" w:cs="Times New Roman"/>
          <w:sz w:val="28"/>
          <w:szCs w:val="28"/>
        </w:rPr>
        <w:t>4</w:t>
      </w:r>
      <w:r w:rsidR="009F77F3">
        <w:rPr>
          <w:rFonts w:ascii="Times New Roman" w:hAnsi="Times New Roman" w:cs="Times New Roman"/>
          <w:sz w:val="28"/>
          <w:szCs w:val="28"/>
        </w:rPr>
        <w:t xml:space="preserve"> году  к уровню 202</w:t>
      </w:r>
      <w:r w:rsidR="00B0785D">
        <w:rPr>
          <w:rFonts w:ascii="Times New Roman" w:hAnsi="Times New Roman" w:cs="Times New Roman"/>
          <w:sz w:val="28"/>
          <w:szCs w:val="28"/>
        </w:rPr>
        <w:t>3</w:t>
      </w:r>
      <w:r w:rsidR="009F77F3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proofErr w:type="gramEnd"/>
      <w:r w:rsidR="009F77F3">
        <w:rPr>
          <w:rFonts w:ascii="Times New Roman" w:hAnsi="Times New Roman" w:cs="Times New Roman"/>
          <w:sz w:val="28"/>
          <w:szCs w:val="28"/>
        </w:rPr>
        <w:t xml:space="preserve"> </w:t>
      </w:r>
      <w:r w:rsidR="009F77F3" w:rsidRPr="009C412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785D" w:rsidRPr="009C412C">
        <w:rPr>
          <w:rFonts w:ascii="Times New Roman" w:hAnsi="Times New Roman" w:cs="Times New Roman"/>
          <w:color w:val="FF0000"/>
          <w:sz w:val="28"/>
          <w:szCs w:val="28"/>
        </w:rPr>
        <w:t>10,79</w:t>
      </w:r>
      <w:r w:rsidR="009F77F3" w:rsidRPr="009C412C">
        <w:rPr>
          <w:rFonts w:ascii="Times New Roman" w:hAnsi="Times New Roman" w:cs="Times New Roman"/>
          <w:color w:val="FF0000"/>
          <w:sz w:val="28"/>
          <w:szCs w:val="28"/>
        </w:rPr>
        <w:t>%.</w:t>
      </w:r>
    </w:p>
    <w:p w:rsidR="00206A68" w:rsidRDefault="009F77F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206A68"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организаций и (или) физических лиц, являющихся индивидуальными предпринимателями, признанными резидентами свободного порта Владивосток в соответствии </w:t>
      </w:r>
      <w:r w:rsidR="00301BE1">
        <w:rPr>
          <w:rFonts w:ascii="Times New Roman" w:hAnsi="Times New Roman" w:cs="Times New Roman"/>
          <w:sz w:val="28"/>
          <w:szCs w:val="28"/>
        </w:rPr>
        <w:t xml:space="preserve">      </w:t>
      </w:r>
      <w:r w:rsidR="00206A68">
        <w:rPr>
          <w:rFonts w:ascii="Times New Roman" w:hAnsi="Times New Roman" w:cs="Times New Roman"/>
          <w:sz w:val="28"/>
          <w:szCs w:val="28"/>
        </w:rPr>
        <w:t>с Федеральным законом от 13.07.2015 № 212-ФЗ «О свободном порте Владивосток» в течение первых пяти лет со дня получения ими статуса резидента свободного порта Владивосток - в отношении земельных участков, используемых ими для осуществления предпринимательской деятельности  и установление пониженной на 80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>% ставки земельного налога в течение 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88291A" w:rsidRDefault="00853E1C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B078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970">
        <w:rPr>
          <w:rFonts w:ascii="Times New Roman" w:hAnsi="Times New Roman" w:cs="Times New Roman"/>
          <w:sz w:val="28"/>
          <w:szCs w:val="28"/>
        </w:rPr>
        <w:t xml:space="preserve">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60018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4506AD">
        <w:rPr>
          <w:rFonts w:ascii="Times New Roman" w:hAnsi="Times New Roman" w:cs="Times New Roman"/>
          <w:sz w:val="28"/>
          <w:szCs w:val="28"/>
        </w:rPr>
        <w:t xml:space="preserve"> </w:t>
      </w:r>
      <w:r w:rsidR="00B2386F" w:rsidRPr="00A934BA">
        <w:rPr>
          <w:rFonts w:ascii="Times New Roman" w:hAnsi="Times New Roman" w:cs="Times New Roman"/>
          <w:sz w:val="28"/>
          <w:szCs w:val="28"/>
        </w:rPr>
        <w:t>1</w:t>
      </w:r>
      <w:r w:rsidR="00A934BA" w:rsidRPr="00A934BA">
        <w:rPr>
          <w:rFonts w:ascii="Times New Roman" w:hAnsi="Times New Roman" w:cs="Times New Roman"/>
          <w:sz w:val="28"/>
          <w:szCs w:val="28"/>
        </w:rPr>
        <w:t>3</w:t>
      </w:r>
      <w:r w:rsidR="004506AD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206A68">
        <w:rPr>
          <w:rFonts w:ascii="Times New Roman" w:hAnsi="Times New Roman" w:cs="Times New Roman"/>
          <w:sz w:val="28"/>
          <w:szCs w:val="28"/>
        </w:rPr>
        <w:t>ов</w:t>
      </w:r>
      <w:r w:rsidR="0088291A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Владивосток.</w:t>
      </w:r>
      <w:r w:rsidR="00D06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15" w:rsidRDefault="00F04CC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7768">
        <w:rPr>
          <w:rFonts w:ascii="Times New Roman" w:hAnsi="Times New Roman" w:cs="Times New Roman"/>
          <w:sz w:val="28"/>
          <w:szCs w:val="28"/>
        </w:rPr>
        <w:t xml:space="preserve">бъем налоговых расходов бюджета </w:t>
      </w:r>
      <w:r w:rsidR="00916E0B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="00D2776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0785D">
        <w:rPr>
          <w:rFonts w:ascii="Times New Roman" w:hAnsi="Times New Roman" w:cs="Times New Roman"/>
          <w:sz w:val="28"/>
          <w:szCs w:val="28"/>
        </w:rPr>
        <w:t>31</w:t>
      </w:r>
      <w:r w:rsidR="00880B5C">
        <w:rPr>
          <w:rFonts w:ascii="Times New Roman" w:hAnsi="Times New Roman" w:cs="Times New Roman"/>
          <w:sz w:val="28"/>
          <w:szCs w:val="28"/>
        </w:rPr>
        <w:t xml:space="preserve">,80 </w:t>
      </w:r>
      <w:r w:rsidR="00D27768">
        <w:rPr>
          <w:rFonts w:ascii="Times New Roman" w:hAnsi="Times New Roman" w:cs="Times New Roman"/>
          <w:sz w:val="28"/>
          <w:szCs w:val="28"/>
        </w:rPr>
        <w:t>тыс. рублей. Льготой по уплате земельного налога воспользовал</w:t>
      </w:r>
      <w:r w:rsidR="00D548BF">
        <w:rPr>
          <w:rFonts w:ascii="Times New Roman" w:hAnsi="Times New Roman" w:cs="Times New Roman"/>
          <w:sz w:val="28"/>
          <w:szCs w:val="28"/>
        </w:rPr>
        <w:t>ась</w:t>
      </w:r>
      <w:r w:rsidR="00D27768">
        <w:rPr>
          <w:rFonts w:ascii="Times New Roman" w:hAnsi="Times New Roman" w:cs="Times New Roman"/>
          <w:sz w:val="28"/>
          <w:szCs w:val="28"/>
        </w:rPr>
        <w:t xml:space="preserve"> </w:t>
      </w:r>
      <w:r w:rsidR="00D548BF">
        <w:rPr>
          <w:rFonts w:ascii="Times New Roman" w:hAnsi="Times New Roman" w:cs="Times New Roman"/>
          <w:sz w:val="28"/>
          <w:szCs w:val="28"/>
        </w:rPr>
        <w:t xml:space="preserve">одна организация, являющаяся </w:t>
      </w:r>
      <w:r w:rsidR="00D27768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D548BF">
        <w:rPr>
          <w:rFonts w:ascii="Times New Roman" w:hAnsi="Times New Roman" w:cs="Times New Roman"/>
          <w:sz w:val="28"/>
          <w:szCs w:val="28"/>
        </w:rPr>
        <w:t>ом</w:t>
      </w:r>
      <w:r w:rsidR="00D27768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</w:t>
      </w:r>
      <w:r w:rsidR="00BF6787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="00BF6787">
        <w:rPr>
          <w:rFonts w:ascii="Times New Roman" w:hAnsi="Times New Roman" w:cs="Times New Roman"/>
          <w:sz w:val="28"/>
          <w:szCs w:val="28"/>
        </w:rPr>
        <w:t>Абалон</w:t>
      </w:r>
      <w:proofErr w:type="spellEnd"/>
      <w:r w:rsidR="00BF6787">
        <w:rPr>
          <w:rFonts w:ascii="Times New Roman" w:hAnsi="Times New Roman" w:cs="Times New Roman"/>
          <w:sz w:val="28"/>
          <w:szCs w:val="28"/>
        </w:rPr>
        <w:t>»)</w:t>
      </w:r>
      <w:r w:rsidR="00D548BF">
        <w:rPr>
          <w:rFonts w:ascii="Times New Roman" w:hAnsi="Times New Roman" w:cs="Times New Roman"/>
          <w:sz w:val="28"/>
          <w:szCs w:val="28"/>
        </w:rPr>
        <w:t>.</w:t>
      </w:r>
      <w:r w:rsidR="006B6915">
        <w:rPr>
          <w:rFonts w:ascii="Times New Roman" w:hAnsi="Times New Roman" w:cs="Times New Roman"/>
          <w:sz w:val="28"/>
          <w:szCs w:val="28"/>
        </w:rPr>
        <w:t xml:space="preserve"> При этом резидентами свободного порта Владивосток перечислено налогов в бюджеты всех уровней в сумме</w:t>
      </w:r>
      <w:r w:rsidR="00A934BA">
        <w:rPr>
          <w:rFonts w:ascii="Times New Roman" w:hAnsi="Times New Roman" w:cs="Times New Roman"/>
          <w:sz w:val="28"/>
          <w:szCs w:val="28"/>
        </w:rPr>
        <w:t xml:space="preserve"> 516</w:t>
      </w:r>
      <w:r w:rsidR="006B6915" w:rsidRPr="00A934BA">
        <w:rPr>
          <w:rFonts w:ascii="Times New Roman" w:hAnsi="Times New Roman" w:cs="Times New Roman"/>
          <w:sz w:val="28"/>
          <w:szCs w:val="28"/>
        </w:rPr>
        <w:t>,00 тыс. рублей,</w:t>
      </w:r>
      <w:r w:rsidR="006B6915" w:rsidRPr="00B078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6915" w:rsidRPr="00A934BA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A934BA" w:rsidRPr="00A934BA">
        <w:rPr>
          <w:rFonts w:ascii="Times New Roman" w:hAnsi="Times New Roman" w:cs="Times New Roman"/>
          <w:sz w:val="28"/>
          <w:szCs w:val="28"/>
        </w:rPr>
        <w:t>57</w:t>
      </w:r>
      <w:r w:rsidR="006B6915" w:rsidRPr="00A934BA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6B6915">
        <w:rPr>
          <w:rFonts w:ascii="Times New Roman" w:hAnsi="Times New Roman" w:cs="Times New Roman"/>
          <w:sz w:val="28"/>
          <w:szCs w:val="28"/>
        </w:rPr>
        <w:t>.</w:t>
      </w:r>
    </w:p>
    <w:p w:rsidR="00E74B35" w:rsidRDefault="0041689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98">
        <w:rPr>
          <w:rFonts w:ascii="Times New Roman" w:hAnsi="Times New Roman" w:cs="Times New Roman"/>
          <w:sz w:val="28"/>
          <w:szCs w:val="28"/>
        </w:rPr>
        <w:t>У</w:t>
      </w:r>
      <w:r w:rsidR="00412970" w:rsidRPr="00416898">
        <w:rPr>
          <w:rFonts w:ascii="Times New Roman" w:hAnsi="Times New Roman" w:cs="Times New Roman"/>
          <w:sz w:val="28"/>
          <w:szCs w:val="28"/>
        </w:rPr>
        <w:t>читывая, что данный вид налог</w:t>
      </w:r>
      <w:r w:rsidR="00CC0744" w:rsidRPr="00416898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 w:rsidRPr="00416898">
        <w:rPr>
          <w:rFonts w:ascii="Times New Roman" w:hAnsi="Times New Roman" w:cs="Times New Roman"/>
          <w:sz w:val="28"/>
          <w:szCs w:val="28"/>
        </w:rPr>
        <w:t>й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BF67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0744" w:rsidRPr="00416898">
        <w:rPr>
          <w:rFonts w:ascii="Times New Roman" w:hAnsi="Times New Roman" w:cs="Times New Roman"/>
          <w:sz w:val="28"/>
          <w:szCs w:val="28"/>
        </w:rPr>
        <w:t>округа</w:t>
      </w:r>
      <w:r w:rsidR="00BF6787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BF6787">
        <w:rPr>
          <w:rFonts w:ascii="Times New Roman" w:hAnsi="Times New Roman" w:cs="Times New Roman"/>
          <w:sz w:val="28"/>
          <w:szCs w:val="28"/>
        </w:rPr>
        <w:lastRenderedPageBreak/>
        <w:t xml:space="preserve">Партизанск 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–</w:t>
      </w:r>
      <w:r w:rsidR="00F55CA4">
        <w:rPr>
          <w:rFonts w:ascii="Times New Roman" w:hAnsi="Times New Roman" w:cs="Times New Roman"/>
          <w:sz w:val="28"/>
          <w:szCs w:val="28"/>
        </w:rPr>
        <w:t xml:space="preserve"> </w:t>
      </w:r>
      <w:r w:rsidR="00F04CC4">
        <w:rPr>
          <w:rFonts w:ascii="Times New Roman" w:hAnsi="Times New Roman" w:cs="Times New Roman"/>
          <w:sz w:val="28"/>
          <w:szCs w:val="28"/>
        </w:rPr>
        <w:t xml:space="preserve">обеспечение благоприятного инвестиционного климата для </w:t>
      </w:r>
      <w:r w:rsidR="00CC0744" w:rsidRPr="00416898">
        <w:rPr>
          <w:rFonts w:ascii="Times New Roman" w:hAnsi="Times New Roman" w:cs="Times New Roman"/>
          <w:sz w:val="28"/>
          <w:szCs w:val="28"/>
        </w:rPr>
        <w:t>привлечени</w:t>
      </w:r>
      <w:r w:rsidR="00F04CC4">
        <w:rPr>
          <w:rFonts w:ascii="Times New Roman" w:hAnsi="Times New Roman" w:cs="Times New Roman"/>
          <w:sz w:val="28"/>
          <w:szCs w:val="28"/>
        </w:rPr>
        <w:t>я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916E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0744" w:rsidRPr="00416898">
        <w:rPr>
          <w:rFonts w:ascii="Times New Roman" w:hAnsi="Times New Roman" w:cs="Times New Roman"/>
          <w:sz w:val="28"/>
          <w:szCs w:val="28"/>
        </w:rPr>
        <w:t>округа инвесторов-резидентов свободного порта Владивосток</w:t>
      </w:r>
      <w:r w:rsidR="004C6D11" w:rsidRPr="00416898">
        <w:rPr>
          <w:rFonts w:ascii="Times New Roman" w:hAnsi="Times New Roman" w:cs="Times New Roman"/>
          <w:sz w:val="28"/>
          <w:szCs w:val="28"/>
        </w:rPr>
        <w:t>,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 w:rsidRPr="00416898">
        <w:rPr>
          <w:rFonts w:ascii="Times New Roman" w:hAnsi="Times New Roman" w:cs="Times New Roman"/>
          <w:sz w:val="28"/>
          <w:szCs w:val="28"/>
        </w:rPr>
        <w:t>льгот</w:t>
      </w:r>
      <w:r w:rsidR="009E0C52" w:rsidRPr="00416898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8E6ED9" w:rsidRPr="00416898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F42A10" w:rsidRPr="00150357" w:rsidRDefault="00F42A10" w:rsidP="00F42A10">
      <w:pPr>
        <w:tabs>
          <w:tab w:val="left" w:pos="367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5035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F42A10" w:rsidRPr="008270F0" w:rsidRDefault="00F42A10" w:rsidP="00F42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8270F0">
        <w:rPr>
          <w:rFonts w:ascii="Times New Roman" w:hAnsi="Times New Roman" w:cs="Times New Roman"/>
          <w:b/>
          <w:sz w:val="26"/>
          <w:szCs w:val="26"/>
        </w:rPr>
        <w:t>результатах оценки эффективности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стимулирующих </w:t>
      </w:r>
      <w:r w:rsidRPr="008270F0">
        <w:rPr>
          <w:rFonts w:ascii="Times New Roman" w:hAnsi="Times New Roman" w:cs="Times New Roman"/>
          <w:b/>
          <w:sz w:val="26"/>
          <w:szCs w:val="26"/>
        </w:rPr>
        <w:t xml:space="preserve"> налоговых расходов</w:t>
      </w:r>
    </w:p>
    <w:p w:rsidR="00F42A10" w:rsidRPr="008270F0" w:rsidRDefault="00F42A10" w:rsidP="00F42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0F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Pr="008270F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42A10" w:rsidRDefault="00F42A10" w:rsidP="00F42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2"/>
        <w:gridCol w:w="3871"/>
        <w:gridCol w:w="2474"/>
        <w:gridCol w:w="2474"/>
      </w:tblGrid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Критерии, показатели о результаты оценки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показателя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критерию оценки (выполнения целевого индикатора показателя)</w:t>
            </w:r>
          </w:p>
        </w:tc>
      </w:tr>
      <w:tr w:rsidR="00F42A10" w:rsidTr="001059D8">
        <w:tc>
          <w:tcPr>
            <w:tcW w:w="10704" w:type="dxa"/>
            <w:gridSpan w:val="4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целесообразности налогового расхода</w:t>
            </w:r>
          </w:p>
        </w:tc>
        <w:tc>
          <w:tcPr>
            <w:tcW w:w="5352" w:type="dxa"/>
            <w:gridSpan w:val="2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выполнение двух критериев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налогового расхода целям и задачам муниципальных программ и (или) иным целям социально-экономической политики муниципального образования</w:t>
            </w:r>
          </w:p>
        </w:tc>
        <w:tc>
          <w:tcPr>
            <w:tcW w:w="2676" w:type="dxa"/>
          </w:tcPr>
          <w:p w:rsidR="00F42A10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</w:p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расходов</w:t>
            </w:r>
          </w:p>
        </w:tc>
        <w:tc>
          <w:tcPr>
            <w:tcW w:w="2676" w:type="dxa"/>
          </w:tcPr>
          <w:p w:rsidR="00F42A10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востребованы/</w:t>
            </w:r>
          </w:p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востребованы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налогового расхода</w:t>
            </w:r>
          </w:p>
        </w:tc>
        <w:tc>
          <w:tcPr>
            <w:tcW w:w="5352" w:type="dxa"/>
            <w:gridSpan w:val="2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выполнение не менее одного критерия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налогового расхода на изменение значения целевого индикатора (показателя) достижения целей муниципальной программы и (или) достижения целей социально-экономической политики муниципального образования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программные значения целевого индикатора (показателя) муниципальной программы или нет</w:t>
            </w:r>
          </w:p>
        </w:tc>
        <w:tc>
          <w:tcPr>
            <w:tcW w:w="2676" w:type="dxa"/>
          </w:tcPr>
          <w:p w:rsidR="00F42A10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план/факт </w:t>
            </w:r>
          </w:p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отсутствует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бюджетной эффективности налогового расхода</w:t>
            </w:r>
          </w:p>
        </w:tc>
        <w:tc>
          <w:tcPr>
            <w:tcW w:w="2676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более результативных (менее затратных) альтернативных механизмов достижения целей муниципальной программы и (или) целей социально-экономической политики муниципального образования</w:t>
            </w:r>
          </w:p>
        </w:tc>
        <w:tc>
          <w:tcPr>
            <w:tcW w:w="2676" w:type="dxa"/>
          </w:tcPr>
          <w:p w:rsidR="00F42A10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альтернативных механизмов достижения целей социально- экономической политики муниципального образования 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5352" w:type="dxa"/>
            <w:gridSpan w:val="2"/>
          </w:tcPr>
          <w:p w:rsidR="00F42A10" w:rsidRPr="00354AFE" w:rsidRDefault="008C7E0E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2A10">
              <w:rPr>
                <w:rFonts w:ascii="Times New Roman" w:hAnsi="Times New Roman" w:cs="Times New Roman"/>
                <w:sz w:val="24"/>
                <w:szCs w:val="24"/>
              </w:rPr>
              <w:t>алоговый расход эффективен</w:t>
            </w:r>
          </w:p>
        </w:tc>
      </w:tr>
      <w:tr w:rsidR="00F42A10" w:rsidTr="001059D8">
        <w:tc>
          <w:tcPr>
            <w:tcW w:w="817" w:type="dxa"/>
          </w:tcPr>
          <w:p w:rsidR="00F42A10" w:rsidRPr="00354AF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:rsidR="00F42A10" w:rsidRPr="00354AFE" w:rsidRDefault="00F42A10" w:rsidP="00105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(предложения)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оценки эффективности налогового расхода</w:t>
            </w:r>
          </w:p>
        </w:tc>
        <w:tc>
          <w:tcPr>
            <w:tcW w:w="5352" w:type="dxa"/>
            <w:gridSpan w:val="2"/>
          </w:tcPr>
          <w:p w:rsidR="00F42A10" w:rsidRPr="00FC327C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Учитывая, что предоставленные  налоговые </w:t>
            </w:r>
            <w:r w:rsidRPr="0024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соответствуют целям социально-экономической политики</w:t>
            </w:r>
            <w:r w:rsidR="00F55CA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24603E">
              <w:rPr>
                <w:rFonts w:ascii="Times New Roman" w:hAnsi="Times New Roman" w:cs="Times New Roman"/>
                <w:sz w:val="24"/>
                <w:szCs w:val="24"/>
              </w:rPr>
              <w:t xml:space="preserve"> в части</w:t>
            </w:r>
            <w:r w:rsidR="00BF678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благоприятного инвестиционного климата для привлечения на территорию  инвесторов</w:t>
            </w:r>
            <w:r w:rsidR="00F5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787">
              <w:rPr>
                <w:rFonts w:ascii="Times New Roman" w:hAnsi="Times New Roman" w:cs="Times New Roman"/>
                <w:sz w:val="24"/>
                <w:szCs w:val="24"/>
              </w:rPr>
              <w:t>- резидентов СПВ,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327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налоговые льготы необходимо сохранить </w:t>
            </w:r>
          </w:p>
          <w:p w:rsidR="00F42A10" w:rsidRPr="0024603E" w:rsidRDefault="00F42A10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A10" w:rsidRDefault="00F42A10" w:rsidP="00F42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12" w:rsidRPr="00164412" w:rsidRDefault="0055591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="00164412" w:rsidRPr="00164412">
        <w:rPr>
          <w:rFonts w:ascii="Times New Roman" w:hAnsi="Times New Roman" w:cs="Times New Roman"/>
          <w:sz w:val="28"/>
          <w:szCs w:val="28"/>
        </w:rPr>
        <w:t xml:space="preserve"> социальных налоговых расходов</w:t>
      </w:r>
      <w:r w:rsidR="00164412">
        <w:rPr>
          <w:rFonts w:ascii="Times New Roman" w:hAnsi="Times New Roman" w:cs="Times New Roman"/>
          <w:sz w:val="28"/>
          <w:szCs w:val="28"/>
        </w:rPr>
        <w:t xml:space="preserve"> в общем объеме налоговых расходов Партизанского городского округа в 202</w:t>
      </w:r>
      <w:r w:rsidR="00B0785D">
        <w:rPr>
          <w:rFonts w:ascii="Times New Roman" w:hAnsi="Times New Roman" w:cs="Times New Roman"/>
          <w:sz w:val="28"/>
          <w:szCs w:val="28"/>
        </w:rPr>
        <w:t>4</w:t>
      </w:r>
      <w:r w:rsidR="00164412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B078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,00 тыс. рублей (0,</w:t>
      </w:r>
      <w:r w:rsidR="00B0785D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206A68" w:rsidRDefault="00660C35" w:rsidP="00F04C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>оциальны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>:</w:t>
      </w:r>
    </w:p>
    <w:p w:rsidR="00660C35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C35">
        <w:rPr>
          <w:rFonts w:ascii="Times New Roman" w:hAnsi="Times New Roman" w:cs="Times New Roman"/>
          <w:sz w:val="28"/>
          <w:szCs w:val="28"/>
        </w:rPr>
        <w:t>От уплаты земельного налога освобождены:</w:t>
      </w:r>
      <w:proofErr w:type="gramEnd"/>
    </w:p>
    <w:p w:rsidR="00660C35" w:rsidRDefault="00660C3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многодетных семей, признаваемы</w:t>
      </w:r>
      <w:r w:rsidR="001644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деятельности.  </w:t>
      </w:r>
      <w:proofErr w:type="gramEnd"/>
    </w:p>
    <w:p w:rsidR="00164412" w:rsidRPr="000A5DD5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202</w:t>
      </w:r>
      <w:r w:rsidR="00BF0759">
        <w:rPr>
          <w:rFonts w:ascii="Times New Roman" w:hAnsi="Times New Roman" w:cs="Times New Roman"/>
          <w:sz w:val="28"/>
          <w:szCs w:val="28"/>
        </w:rPr>
        <w:t>4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BF0759">
        <w:rPr>
          <w:rFonts w:ascii="Times New Roman" w:hAnsi="Times New Roman" w:cs="Times New Roman"/>
          <w:sz w:val="28"/>
          <w:szCs w:val="28"/>
        </w:rPr>
        <w:t>110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BF0759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F0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,00 тыс. рублей.</w:t>
      </w:r>
    </w:p>
    <w:p w:rsidR="00164412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с соответствии с Указом Президента Российской Федерации от 21.09.2022 года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28.03.1998 года № 53-ФЗ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службе», лиц, заключивших контракт о добровольном содействии в выполнении задач, 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:rsidR="00164412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F07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воспользовался </w:t>
      </w:r>
      <w:r w:rsidR="00BF0759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BF0759">
        <w:rPr>
          <w:rFonts w:ascii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hAnsi="Times New Roman" w:cs="Times New Roman"/>
          <w:sz w:val="28"/>
          <w:szCs w:val="28"/>
        </w:rPr>
        <w:t xml:space="preserve">сумма предоставленной льготы – </w:t>
      </w:r>
      <w:r w:rsidR="00BF07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,00 тыс. рублей.</w:t>
      </w:r>
    </w:p>
    <w:p w:rsidR="00206A68" w:rsidRDefault="00164412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уплаты налога на имущество физических лиц освобождены </w:t>
      </w:r>
      <w:r w:rsidR="00206A68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6A68">
        <w:rPr>
          <w:rFonts w:ascii="Times New Roman" w:hAnsi="Times New Roman" w:cs="Times New Roman"/>
          <w:sz w:val="28"/>
          <w:szCs w:val="28"/>
        </w:rPr>
        <w:t xml:space="preserve">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края»,  в размере подлежащей уплате налогоплательщиком суммы налога</w:t>
      </w:r>
      <w:r w:rsidR="00301BE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 w:rsidR="00206A68">
        <w:rPr>
          <w:rFonts w:ascii="Times New Roman" w:hAnsi="Times New Roman" w:cs="Times New Roman"/>
          <w:sz w:val="28"/>
          <w:szCs w:val="28"/>
        </w:rPr>
        <w:t xml:space="preserve"> в отношении объекта налогообложения, </w:t>
      </w:r>
      <w:r w:rsidR="00206A68">
        <w:rPr>
          <w:rFonts w:ascii="Times New Roman" w:hAnsi="Times New Roman" w:cs="Times New Roman"/>
          <w:sz w:val="28"/>
          <w:szCs w:val="28"/>
        </w:rPr>
        <w:lastRenderedPageBreak/>
        <w:t>находящегося в собственности налогоплательщика и не используемого налогоплательщиком в предпринимательской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BF0759">
        <w:rPr>
          <w:rFonts w:ascii="Times New Roman" w:hAnsi="Times New Roman" w:cs="Times New Roman"/>
          <w:sz w:val="28"/>
          <w:szCs w:val="28"/>
        </w:rPr>
        <w:t>4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660C35">
        <w:rPr>
          <w:rFonts w:ascii="Times New Roman" w:hAnsi="Times New Roman" w:cs="Times New Roman"/>
          <w:sz w:val="28"/>
          <w:szCs w:val="28"/>
        </w:rPr>
        <w:t>2</w:t>
      </w:r>
      <w:r w:rsidR="00BF0759">
        <w:rPr>
          <w:rFonts w:ascii="Times New Roman" w:hAnsi="Times New Roman" w:cs="Times New Roman"/>
          <w:sz w:val="28"/>
          <w:szCs w:val="28"/>
        </w:rPr>
        <w:t>13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87645" w:rsidRPr="000A5DD5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164412">
        <w:rPr>
          <w:rFonts w:ascii="Times New Roman" w:hAnsi="Times New Roman" w:cs="Times New Roman"/>
          <w:sz w:val="28"/>
          <w:szCs w:val="28"/>
        </w:rPr>
        <w:t xml:space="preserve"> </w:t>
      </w:r>
      <w:r w:rsidR="00BF0759">
        <w:rPr>
          <w:rFonts w:ascii="Times New Roman" w:hAnsi="Times New Roman" w:cs="Times New Roman"/>
          <w:sz w:val="28"/>
          <w:szCs w:val="28"/>
        </w:rPr>
        <w:t>49</w:t>
      </w:r>
      <w:r w:rsidR="00853E1C">
        <w:rPr>
          <w:rFonts w:ascii="Times New Roman" w:hAnsi="Times New Roman" w:cs="Times New Roman"/>
          <w:sz w:val="28"/>
          <w:szCs w:val="28"/>
        </w:rPr>
        <w:t>,0</w:t>
      </w:r>
      <w:r w:rsidR="00D548BF">
        <w:rPr>
          <w:rFonts w:ascii="Times New Roman" w:hAnsi="Times New Roman" w:cs="Times New Roman"/>
          <w:sz w:val="28"/>
          <w:szCs w:val="28"/>
        </w:rPr>
        <w:t>0</w:t>
      </w:r>
      <w:r w:rsidR="00853E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71D9A" w:rsidRDefault="00ED56E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D9A"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</w:t>
      </w:r>
      <w:r w:rsidR="00D06B15">
        <w:rPr>
          <w:rFonts w:ascii="Times New Roman" w:hAnsi="Times New Roman" w:cs="Times New Roman"/>
          <w:sz w:val="28"/>
          <w:szCs w:val="28"/>
        </w:rPr>
        <w:t xml:space="preserve">льгот оценивается показателем социальной защищенности определенных слоев населения </w:t>
      </w:r>
      <w:r w:rsidR="00916E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06B15">
        <w:rPr>
          <w:rFonts w:ascii="Times New Roman" w:hAnsi="Times New Roman" w:cs="Times New Roman"/>
          <w:sz w:val="28"/>
          <w:szCs w:val="28"/>
        </w:rPr>
        <w:t>округа и повышени</w:t>
      </w:r>
      <w:r w:rsidR="0069044B">
        <w:rPr>
          <w:rFonts w:ascii="Times New Roman" w:hAnsi="Times New Roman" w:cs="Times New Roman"/>
          <w:sz w:val="28"/>
          <w:szCs w:val="28"/>
        </w:rPr>
        <w:t>ем</w:t>
      </w:r>
      <w:r w:rsidR="00D06B15">
        <w:rPr>
          <w:rFonts w:ascii="Times New Roman" w:hAnsi="Times New Roman" w:cs="Times New Roman"/>
          <w:sz w:val="28"/>
          <w:szCs w:val="28"/>
        </w:rPr>
        <w:t xml:space="preserve"> их уровня</w:t>
      </w:r>
      <w:r w:rsidR="0069044B">
        <w:rPr>
          <w:rFonts w:ascii="Times New Roman" w:hAnsi="Times New Roman" w:cs="Times New Roman"/>
          <w:sz w:val="28"/>
          <w:szCs w:val="28"/>
        </w:rPr>
        <w:t xml:space="preserve"> и качества</w:t>
      </w:r>
      <w:r w:rsidR="00D06B15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все виды налоговых расходов соответствуют целям социально-экономической политики </w:t>
      </w:r>
      <w:r w:rsidR="00916E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округа, их действие необходимо сохранить.</w:t>
      </w:r>
      <w:r w:rsidR="00E2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073" w:rsidRPr="00150357" w:rsidRDefault="00F42A10" w:rsidP="00150357">
      <w:pPr>
        <w:tabs>
          <w:tab w:val="left" w:pos="367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50357">
        <w:rPr>
          <w:rFonts w:ascii="Times New Roman" w:hAnsi="Times New Roman" w:cs="Times New Roman"/>
          <w:sz w:val="28"/>
          <w:szCs w:val="28"/>
        </w:rPr>
        <w:t xml:space="preserve">      </w:t>
      </w:r>
      <w:r w:rsidR="00150357" w:rsidRPr="0015035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50357" w:rsidRPr="008270F0" w:rsidRDefault="00150357" w:rsidP="001503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8270F0">
        <w:rPr>
          <w:rFonts w:ascii="Times New Roman" w:hAnsi="Times New Roman" w:cs="Times New Roman"/>
          <w:b/>
          <w:sz w:val="26"/>
          <w:szCs w:val="26"/>
        </w:rPr>
        <w:t>результатах оценки эффективности</w:t>
      </w:r>
      <w:r w:rsidR="0023412F">
        <w:rPr>
          <w:rFonts w:ascii="Times New Roman" w:hAnsi="Times New Roman" w:cs="Times New Roman"/>
          <w:b/>
          <w:sz w:val="26"/>
          <w:szCs w:val="26"/>
        </w:rPr>
        <w:t xml:space="preserve"> социальных </w:t>
      </w:r>
      <w:r w:rsidRPr="008270F0">
        <w:rPr>
          <w:rFonts w:ascii="Times New Roman" w:hAnsi="Times New Roman" w:cs="Times New Roman"/>
          <w:b/>
          <w:sz w:val="26"/>
          <w:szCs w:val="26"/>
        </w:rPr>
        <w:t xml:space="preserve"> налоговых расходов</w:t>
      </w:r>
    </w:p>
    <w:p w:rsidR="00150357" w:rsidRPr="008270F0" w:rsidRDefault="00150357" w:rsidP="001503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0F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Pr="008270F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150357" w:rsidRDefault="00150357" w:rsidP="00150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2"/>
        <w:gridCol w:w="3871"/>
        <w:gridCol w:w="2474"/>
        <w:gridCol w:w="2474"/>
      </w:tblGrid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Критерии, показатели о результаты оценки</w:t>
            </w:r>
          </w:p>
        </w:tc>
        <w:tc>
          <w:tcPr>
            <w:tcW w:w="2474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показателя</w:t>
            </w:r>
          </w:p>
        </w:tc>
        <w:tc>
          <w:tcPr>
            <w:tcW w:w="2474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критерию оценки (выполнения целевого индикатора показателя)</w:t>
            </w:r>
          </w:p>
        </w:tc>
      </w:tr>
      <w:tr w:rsidR="00150357" w:rsidTr="003A38CB">
        <w:tc>
          <w:tcPr>
            <w:tcW w:w="9571" w:type="dxa"/>
            <w:gridSpan w:val="4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целесообразности налогового расхода</w:t>
            </w:r>
          </w:p>
        </w:tc>
        <w:tc>
          <w:tcPr>
            <w:tcW w:w="4948" w:type="dxa"/>
            <w:gridSpan w:val="2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выполнение двух критериев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налогового расхода целям и задачам муниципальных программ и (или) иным целям социально-экономической политики муниципального образования</w:t>
            </w:r>
          </w:p>
        </w:tc>
        <w:tc>
          <w:tcPr>
            <w:tcW w:w="2474" w:type="dxa"/>
          </w:tcPr>
          <w:p w:rsidR="00150357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</w:p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474" w:type="dxa"/>
          </w:tcPr>
          <w:p w:rsidR="00150357" w:rsidRPr="00354AFE" w:rsidRDefault="0023412F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расходов</w:t>
            </w:r>
          </w:p>
        </w:tc>
        <w:tc>
          <w:tcPr>
            <w:tcW w:w="2474" w:type="dxa"/>
          </w:tcPr>
          <w:p w:rsidR="00150357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востребованы/</w:t>
            </w:r>
          </w:p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востребованы</w:t>
            </w:r>
          </w:p>
        </w:tc>
        <w:tc>
          <w:tcPr>
            <w:tcW w:w="2474" w:type="dxa"/>
          </w:tcPr>
          <w:p w:rsidR="00150357" w:rsidRPr="00354AFE" w:rsidRDefault="0023412F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налогового расхода</w:t>
            </w:r>
          </w:p>
        </w:tc>
        <w:tc>
          <w:tcPr>
            <w:tcW w:w="4948" w:type="dxa"/>
            <w:gridSpan w:val="2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выполнение не менее одного критерия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налогового расхода на изменение значения целевого индикатора (показателя) достижения целей муниципальной программы и (или) достижения целей социально-экономической политики муниципального образования</w:t>
            </w:r>
          </w:p>
        </w:tc>
        <w:tc>
          <w:tcPr>
            <w:tcW w:w="2474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программные значения целевого индикатора (показателя) муниципальной программы или нет</w:t>
            </w:r>
          </w:p>
        </w:tc>
        <w:tc>
          <w:tcPr>
            <w:tcW w:w="2474" w:type="dxa"/>
          </w:tcPr>
          <w:p w:rsidR="00150357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план/факт</w:t>
            </w:r>
            <w:r w:rsidR="0024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03E" w:rsidRPr="00354AFE" w:rsidRDefault="0024603E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отсутствует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бюджетной эффективности налогового расхода</w:t>
            </w:r>
          </w:p>
        </w:tc>
        <w:tc>
          <w:tcPr>
            <w:tcW w:w="2474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или отсутствие более результативных (менее затратных) альтернативных механизмов достижения целей муниципальной программы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социально-экономической политики муниципального образования</w:t>
            </w:r>
          </w:p>
        </w:tc>
        <w:tc>
          <w:tcPr>
            <w:tcW w:w="2474" w:type="dxa"/>
          </w:tcPr>
          <w:p w:rsidR="00150357" w:rsidRDefault="0024603E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5035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4603E" w:rsidRPr="00354AFE" w:rsidRDefault="0024603E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альтернативных механизмов достижения целей социально- экономической политики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4948" w:type="dxa"/>
            <w:gridSpan w:val="2"/>
          </w:tcPr>
          <w:p w:rsidR="00150357" w:rsidRPr="00354AFE" w:rsidRDefault="008C7E0E" w:rsidP="00246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0357">
              <w:rPr>
                <w:rFonts w:ascii="Times New Roman" w:hAnsi="Times New Roman" w:cs="Times New Roman"/>
                <w:sz w:val="24"/>
                <w:szCs w:val="24"/>
              </w:rPr>
              <w:t>алоговый расход эффективен</w:t>
            </w:r>
          </w:p>
        </w:tc>
      </w:tr>
      <w:tr w:rsidR="00150357" w:rsidTr="003A38CB">
        <w:tc>
          <w:tcPr>
            <w:tcW w:w="752" w:type="dxa"/>
          </w:tcPr>
          <w:p w:rsidR="00150357" w:rsidRPr="00354AFE" w:rsidRDefault="00150357" w:rsidP="001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1" w:type="dxa"/>
          </w:tcPr>
          <w:p w:rsidR="00150357" w:rsidRPr="00354AFE" w:rsidRDefault="00150357" w:rsidP="0015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(предложения) по результатам оценки эффективности налогового расхода</w:t>
            </w:r>
          </w:p>
        </w:tc>
        <w:tc>
          <w:tcPr>
            <w:tcW w:w="4948" w:type="dxa"/>
            <w:gridSpan w:val="2"/>
          </w:tcPr>
          <w:p w:rsidR="00150357" w:rsidRPr="00FC327C" w:rsidRDefault="0024603E" w:rsidP="00246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предоставленные  налоговые </w:t>
            </w:r>
            <w:r w:rsidRPr="0024603E">
              <w:rPr>
                <w:rFonts w:ascii="Times New Roman" w:hAnsi="Times New Roman" w:cs="Times New Roman"/>
                <w:sz w:val="24"/>
                <w:szCs w:val="24"/>
              </w:rPr>
              <w:t>расходы  соответствуют целям социально-экономической политики в части социальной защищенности определенных слоев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327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налоговые льготы </w:t>
            </w:r>
            <w:r w:rsidR="00150357" w:rsidRPr="00FC327C">
              <w:rPr>
                <w:rFonts w:ascii="Times New Roman" w:hAnsi="Times New Roman" w:cs="Times New Roman"/>
                <w:sz w:val="24"/>
                <w:szCs w:val="24"/>
              </w:rPr>
              <w:t>необходимо сохран</w:t>
            </w:r>
            <w:r w:rsidR="00FC327C" w:rsidRPr="00FC327C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C3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03E" w:rsidRPr="0024603E" w:rsidRDefault="0024603E" w:rsidP="00246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8CB" w:rsidRDefault="003A38CB" w:rsidP="003A3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8CB" w:rsidRDefault="003A38CB" w:rsidP="003A3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налоговых льгот за 2024 год будут учтены при формировании основных направлений бюджетной и налоговой политики </w:t>
      </w:r>
      <w:r w:rsidR="00916E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16E0B">
        <w:rPr>
          <w:rFonts w:ascii="Times New Roman" w:hAnsi="Times New Roman" w:cs="Times New Roman"/>
          <w:sz w:val="28"/>
          <w:szCs w:val="28"/>
        </w:rPr>
        <w:t xml:space="preserve">город Партизанск </w:t>
      </w:r>
      <w:r>
        <w:rPr>
          <w:rFonts w:ascii="Times New Roman" w:hAnsi="Times New Roman" w:cs="Times New Roman"/>
          <w:sz w:val="28"/>
          <w:szCs w:val="28"/>
        </w:rPr>
        <w:t>на 2027 год и на плановый период 2028 и 2029 годов.</w:t>
      </w:r>
    </w:p>
    <w:p w:rsidR="00F55CA4" w:rsidRDefault="00F55CA4" w:rsidP="00150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CA4" w:rsidRDefault="00F55CA4" w:rsidP="00F55CA4">
      <w:pPr>
        <w:rPr>
          <w:rFonts w:ascii="Times New Roman" w:hAnsi="Times New Roman" w:cs="Times New Roman"/>
          <w:sz w:val="28"/>
          <w:szCs w:val="28"/>
        </w:rPr>
      </w:pPr>
    </w:p>
    <w:p w:rsidR="00150357" w:rsidRPr="00F55CA4" w:rsidRDefault="00F55CA4" w:rsidP="00F55CA4">
      <w:pPr>
        <w:tabs>
          <w:tab w:val="left" w:pos="26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sectPr w:rsidR="00150357" w:rsidRPr="00F55CA4" w:rsidSect="0064489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E0E" w:rsidRDefault="008C7E0E" w:rsidP="0064489B">
      <w:pPr>
        <w:spacing w:after="0" w:line="240" w:lineRule="auto"/>
      </w:pPr>
      <w:r>
        <w:separator/>
      </w:r>
    </w:p>
  </w:endnote>
  <w:endnote w:type="continuationSeparator" w:id="0">
    <w:p w:rsidR="008C7E0E" w:rsidRDefault="008C7E0E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E0E" w:rsidRDefault="008C7E0E" w:rsidP="0064489B">
      <w:pPr>
        <w:spacing w:after="0" w:line="240" w:lineRule="auto"/>
      </w:pPr>
      <w:r>
        <w:separator/>
      </w:r>
    </w:p>
  </w:footnote>
  <w:footnote w:type="continuationSeparator" w:id="0">
    <w:p w:rsidR="008C7E0E" w:rsidRDefault="008C7E0E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8C7E0E" w:rsidRDefault="008C7E0E">
        <w:pPr>
          <w:pStyle w:val="a6"/>
          <w:jc w:val="center"/>
        </w:pPr>
        <w:fldSimple w:instr=" PAGE   \* MERGEFORMAT ">
          <w:r w:rsidR="0028474F">
            <w:rPr>
              <w:noProof/>
            </w:rPr>
            <w:t>8</w:t>
          </w:r>
        </w:fldSimple>
      </w:p>
    </w:sdtContent>
  </w:sdt>
  <w:p w:rsidR="008C7E0E" w:rsidRDefault="008C7E0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17073"/>
    <w:rsid w:val="000214E5"/>
    <w:rsid w:val="00023B36"/>
    <w:rsid w:val="0002515F"/>
    <w:rsid w:val="000374A9"/>
    <w:rsid w:val="000450CD"/>
    <w:rsid w:val="0005108E"/>
    <w:rsid w:val="00051143"/>
    <w:rsid w:val="000567C8"/>
    <w:rsid w:val="00056C61"/>
    <w:rsid w:val="0005785F"/>
    <w:rsid w:val="00061EA4"/>
    <w:rsid w:val="00066D89"/>
    <w:rsid w:val="000813D4"/>
    <w:rsid w:val="000833DF"/>
    <w:rsid w:val="0009445B"/>
    <w:rsid w:val="000A5DD5"/>
    <w:rsid w:val="000B5DEC"/>
    <w:rsid w:val="000C17F3"/>
    <w:rsid w:val="000D09F0"/>
    <w:rsid w:val="000F0C5F"/>
    <w:rsid w:val="00101C09"/>
    <w:rsid w:val="001059D8"/>
    <w:rsid w:val="001108EA"/>
    <w:rsid w:val="001119E7"/>
    <w:rsid w:val="00116D91"/>
    <w:rsid w:val="00150357"/>
    <w:rsid w:val="001618DB"/>
    <w:rsid w:val="00164412"/>
    <w:rsid w:val="0016528D"/>
    <w:rsid w:val="00193D39"/>
    <w:rsid w:val="001A11BD"/>
    <w:rsid w:val="001B1B04"/>
    <w:rsid w:val="001D2555"/>
    <w:rsid w:val="001E0D98"/>
    <w:rsid w:val="001E354C"/>
    <w:rsid w:val="001E7125"/>
    <w:rsid w:val="001F0401"/>
    <w:rsid w:val="00205D07"/>
    <w:rsid w:val="00206A68"/>
    <w:rsid w:val="0022375B"/>
    <w:rsid w:val="00226B71"/>
    <w:rsid w:val="00232DA4"/>
    <w:rsid w:val="0023412F"/>
    <w:rsid w:val="002348F5"/>
    <w:rsid w:val="00243A9F"/>
    <w:rsid w:val="0024603E"/>
    <w:rsid w:val="00250B76"/>
    <w:rsid w:val="002654D2"/>
    <w:rsid w:val="002737CE"/>
    <w:rsid w:val="002760BB"/>
    <w:rsid w:val="00283569"/>
    <w:rsid w:val="0028474F"/>
    <w:rsid w:val="002859B0"/>
    <w:rsid w:val="002868ED"/>
    <w:rsid w:val="00286BCE"/>
    <w:rsid w:val="002B1C22"/>
    <w:rsid w:val="002B7CC8"/>
    <w:rsid w:val="002C0D74"/>
    <w:rsid w:val="002C4C21"/>
    <w:rsid w:val="002C67F4"/>
    <w:rsid w:val="002D2D01"/>
    <w:rsid w:val="003018E3"/>
    <w:rsid w:val="00301BE1"/>
    <w:rsid w:val="00307A55"/>
    <w:rsid w:val="00317716"/>
    <w:rsid w:val="00336CC8"/>
    <w:rsid w:val="00340506"/>
    <w:rsid w:val="00341370"/>
    <w:rsid w:val="00342B46"/>
    <w:rsid w:val="0035374E"/>
    <w:rsid w:val="003577E3"/>
    <w:rsid w:val="003720CE"/>
    <w:rsid w:val="003859D4"/>
    <w:rsid w:val="00387645"/>
    <w:rsid w:val="003A38CB"/>
    <w:rsid w:val="003A3E0E"/>
    <w:rsid w:val="003B4240"/>
    <w:rsid w:val="003D6CDC"/>
    <w:rsid w:val="00407C11"/>
    <w:rsid w:val="00412970"/>
    <w:rsid w:val="00416898"/>
    <w:rsid w:val="00426E21"/>
    <w:rsid w:val="00432D70"/>
    <w:rsid w:val="004506AD"/>
    <w:rsid w:val="00453733"/>
    <w:rsid w:val="0046290B"/>
    <w:rsid w:val="00462E11"/>
    <w:rsid w:val="00471317"/>
    <w:rsid w:val="0048279E"/>
    <w:rsid w:val="004A030B"/>
    <w:rsid w:val="004A32C1"/>
    <w:rsid w:val="004B6EDB"/>
    <w:rsid w:val="004B72B8"/>
    <w:rsid w:val="004C4AD8"/>
    <w:rsid w:val="004C60D9"/>
    <w:rsid w:val="004C6D11"/>
    <w:rsid w:val="004D01DF"/>
    <w:rsid w:val="004D1239"/>
    <w:rsid w:val="004D13AB"/>
    <w:rsid w:val="004E3015"/>
    <w:rsid w:val="005335BF"/>
    <w:rsid w:val="0053734E"/>
    <w:rsid w:val="00537CB4"/>
    <w:rsid w:val="00537CE9"/>
    <w:rsid w:val="00551DC6"/>
    <w:rsid w:val="005523AA"/>
    <w:rsid w:val="00555913"/>
    <w:rsid w:val="005620ED"/>
    <w:rsid w:val="00565B24"/>
    <w:rsid w:val="0056695A"/>
    <w:rsid w:val="00583827"/>
    <w:rsid w:val="0058488A"/>
    <w:rsid w:val="005A7BC6"/>
    <w:rsid w:val="005B29C8"/>
    <w:rsid w:val="005D2426"/>
    <w:rsid w:val="005D55EE"/>
    <w:rsid w:val="005D667A"/>
    <w:rsid w:val="005D745E"/>
    <w:rsid w:val="005F49A4"/>
    <w:rsid w:val="0060018B"/>
    <w:rsid w:val="006071AC"/>
    <w:rsid w:val="00617687"/>
    <w:rsid w:val="0064489B"/>
    <w:rsid w:val="0065025B"/>
    <w:rsid w:val="006530E9"/>
    <w:rsid w:val="00660C35"/>
    <w:rsid w:val="00661D40"/>
    <w:rsid w:val="00664719"/>
    <w:rsid w:val="00664EF8"/>
    <w:rsid w:val="0066523D"/>
    <w:rsid w:val="006718F9"/>
    <w:rsid w:val="00677C9D"/>
    <w:rsid w:val="0069044B"/>
    <w:rsid w:val="00695DA6"/>
    <w:rsid w:val="006A167B"/>
    <w:rsid w:val="006A5030"/>
    <w:rsid w:val="006B169D"/>
    <w:rsid w:val="006B3B65"/>
    <w:rsid w:val="006B4B72"/>
    <w:rsid w:val="006B6915"/>
    <w:rsid w:val="006E0F74"/>
    <w:rsid w:val="006E451C"/>
    <w:rsid w:val="006E5B6A"/>
    <w:rsid w:val="006F1ADA"/>
    <w:rsid w:val="006F4188"/>
    <w:rsid w:val="006F47F7"/>
    <w:rsid w:val="00705E09"/>
    <w:rsid w:val="00707C3B"/>
    <w:rsid w:val="00727B10"/>
    <w:rsid w:val="00731585"/>
    <w:rsid w:val="0074519F"/>
    <w:rsid w:val="00765134"/>
    <w:rsid w:val="007C1DEC"/>
    <w:rsid w:val="007C51F9"/>
    <w:rsid w:val="007D1DC1"/>
    <w:rsid w:val="007E3A67"/>
    <w:rsid w:val="007F07E8"/>
    <w:rsid w:val="00805A90"/>
    <w:rsid w:val="008108CA"/>
    <w:rsid w:val="008203E8"/>
    <w:rsid w:val="00824BDC"/>
    <w:rsid w:val="00835FFA"/>
    <w:rsid w:val="00843C34"/>
    <w:rsid w:val="00853E1C"/>
    <w:rsid w:val="00880B5C"/>
    <w:rsid w:val="0088291A"/>
    <w:rsid w:val="0088464E"/>
    <w:rsid w:val="00897E34"/>
    <w:rsid w:val="008B6AEF"/>
    <w:rsid w:val="008C7D4C"/>
    <w:rsid w:val="008C7E0E"/>
    <w:rsid w:val="008D5C02"/>
    <w:rsid w:val="008D7C96"/>
    <w:rsid w:val="008E15AA"/>
    <w:rsid w:val="008E6E3B"/>
    <w:rsid w:val="008E6ED9"/>
    <w:rsid w:val="008F017E"/>
    <w:rsid w:val="008F4855"/>
    <w:rsid w:val="008F65E8"/>
    <w:rsid w:val="008F6F35"/>
    <w:rsid w:val="00903B77"/>
    <w:rsid w:val="00913ACB"/>
    <w:rsid w:val="00916E0B"/>
    <w:rsid w:val="00917849"/>
    <w:rsid w:val="00924791"/>
    <w:rsid w:val="009316F5"/>
    <w:rsid w:val="00935AA7"/>
    <w:rsid w:val="00937909"/>
    <w:rsid w:val="009550F2"/>
    <w:rsid w:val="0095585D"/>
    <w:rsid w:val="00960739"/>
    <w:rsid w:val="009614F0"/>
    <w:rsid w:val="009635A4"/>
    <w:rsid w:val="00974870"/>
    <w:rsid w:val="0098418B"/>
    <w:rsid w:val="00996796"/>
    <w:rsid w:val="009C29C6"/>
    <w:rsid w:val="009C412C"/>
    <w:rsid w:val="009D096E"/>
    <w:rsid w:val="009D3815"/>
    <w:rsid w:val="009E0C52"/>
    <w:rsid w:val="009F2E3F"/>
    <w:rsid w:val="009F5960"/>
    <w:rsid w:val="009F77F3"/>
    <w:rsid w:val="00A00935"/>
    <w:rsid w:val="00A02F75"/>
    <w:rsid w:val="00A07F6E"/>
    <w:rsid w:val="00A16FF9"/>
    <w:rsid w:val="00A27423"/>
    <w:rsid w:val="00A35208"/>
    <w:rsid w:val="00A37C7B"/>
    <w:rsid w:val="00A51FD2"/>
    <w:rsid w:val="00A520E9"/>
    <w:rsid w:val="00A550FB"/>
    <w:rsid w:val="00A61522"/>
    <w:rsid w:val="00A934BA"/>
    <w:rsid w:val="00A9357D"/>
    <w:rsid w:val="00A96E1D"/>
    <w:rsid w:val="00A97763"/>
    <w:rsid w:val="00AA12BF"/>
    <w:rsid w:val="00AA3003"/>
    <w:rsid w:val="00AA4A53"/>
    <w:rsid w:val="00AA5441"/>
    <w:rsid w:val="00AA5478"/>
    <w:rsid w:val="00AB1394"/>
    <w:rsid w:val="00AB426F"/>
    <w:rsid w:val="00AC7BEB"/>
    <w:rsid w:val="00AD05BC"/>
    <w:rsid w:val="00AD48FE"/>
    <w:rsid w:val="00AF27CB"/>
    <w:rsid w:val="00AF55AA"/>
    <w:rsid w:val="00B0785D"/>
    <w:rsid w:val="00B12497"/>
    <w:rsid w:val="00B143E8"/>
    <w:rsid w:val="00B216F3"/>
    <w:rsid w:val="00B2378A"/>
    <w:rsid w:val="00B2386F"/>
    <w:rsid w:val="00B32F7C"/>
    <w:rsid w:val="00B434A1"/>
    <w:rsid w:val="00B46860"/>
    <w:rsid w:val="00B62CFF"/>
    <w:rsid w:val="00B647B3"/>
    <w:rsid w:val="00B952CE"/>
    <w:rsid w:val="00BA05B5"/>
    <w:rsid w:val="00BB35DC"/>
    <w:rsid w:val="00BB61BB"/>
    <w:rsid w:val="00BC0228"/>
    <w:rsid w:val="00BC1E8F"/>
    <w:rsid w:val="00BC240E"/>
    <w:rsid w:val="00BD1AB7"/>
    <w:rsid w:val="00BE0AD0"/>
    <w:rsid w:val="00BE1151"/>
    <w:rsid w:val="00BE1FD5"/>
    <w:rsid w:val="00BF0759"/>
    <w:rsid w:val="00BF6787"/>
    <w:rsid w:val="00C02307"/>
    <w:rsid w:val="00C1000D"/>
    <w:rsid w:val="00C16B84"/>
    <w:rsid w:val="00C2060E"/>
    <w:rsid w:val="00C22B42"/>
    <w:rsid w:val="00C22F19"/>
    <w:rsid w:val="00C569ED"/>
    <w:rsid w:val="00C7134F"/>
    <w:rsid w:val="00C72974"/>
    <w:rsid w:val="00C93A89"/>
    <w:rsid w:val="00C9567C"/>
    <w:rsid w:val="00C975E2"/>
    <w:rsid w:val="00CA5A4A"/>
    <w:rsid w:val="00CC0744"/>
    <w:rsid w:val="00CE53C8"/>
    <w:rsid w:val="00CF1115"/>
    <w:rsid w:val="00CF38C9"/>
    <w:rsid w:val="00D04E28"/>
    <w:rsid w:val="00D063CC"/>
    <w:rsid w:val="00D06B15"/>
    <w:rsid w:val="00D12306"/>
    <w:rsid w:val="00D17DC5"/>
    <w:rsid w:val="00D21E71"/>
    <w:rsid w:val="00D27768"/>
    <w:rsid w:val="00D31612"/>
    <w:rsid w:val="00D32FC5"/>
    <w:rsid w:val="00D36657"/>
    <w:rsid w:val="00D36788"/>
    <w:rsid w:val="00D53D6A"/>
    <w:rsid w:val="00D548BF"/>
    <w:rsid w:val="00D55E92"/>
    <w:rsid w:val="00D62E77"/>
    <w:rsid w:val="00D67C2D"/>
    <w:rsid w:val="00D93BA1"/>
    <w:rsid w:val="00DA6280"/>
    <w:rsid w:val="00DB35B2"/>
    <w:rsid w:val="00DB4521"/>
    <w:rsid w:val="00DB563D"/>
    <w:rsid w:val="00DD5A10"/>
    <w:rsid w:val="00DE2F55"/>
    <w:rsid w:val="00E001C8"/>
    <w:rsid w:val="00E01397"/>
    <w:rsid w:val="00E05849"/>
    <w:rsid w:val="00E15299"/>
    <w:rsid w:val="00E221E6"/>
    <w:rsid w:val="00E2227D"/>
    <w:rsid w:val="00E3011C"/>
    <w:rsid w:val="00E32DD5"/>
    <w:rsid w:val="00E36B0B"/>
    <w:rsid w:val="00E44057"/>
    <w:rsid w:val="00E55C95"/>
    <w:rsid w:val="00E63635"/>
    <w:rsid w:val="00E673D7"/>
    <w:rsid w:val="00E7307B"/>
    <w:rsid w:val="00E74B35"/>
    <w:rsid w:val="00E75899"/>
    <w:rsid w:val="00E76DE7"/>
    <w:rsid w:val="00E8446B"/>
    <w:rsid w:val="00E91664"/>
    <w:rsid w:val="00E95818"/>
    <w:rsid w:val="00E95D6B"/>
    <w:rsid w:val="00EA3C86"/>
    <w:rsid w:val="00EB77E3"/>
    <w:rsid w:val="00ED3D62"/>
    <w:rsid w:val="00ED56E5"/>
    <w:rsid w:val="00ED7CD4"/>
    <w:rsid w:val="00EF7627"/>
    <w:rsid w:val="00F002F2"/>
    <w:rsid w:val="00F04CC4"/>
    <w:rsid w:val="00F115D3"/>
    <w:rsid w:val="00F1273C"/>
    <w:rsid w:val="00F12F68"/>
    <w:rsid w:val="00F34522"/>
    <w:rsid w:val="00F42A10"/>
    <w:rsid w:val="00F55CA4"/>
    <w:rsid w:val="00F561AC"/>
    <w:rsid w:val="00F61CC1"/>
    <w:rsid w:val="00F63ADB"/>
    <w:rsid w:val="00F64B7F"/>
    <w:rsid w:val="00F71D9A"/>
    <w:rsid w:val="00F75DCF"/>
    <w:rsid w:val="00F92E92"/>
    <w:rsid w:val="00F97DB8"/>
    <w:rsid w:val="00FA25FC"/>
    <w:rsid w:val="00FA40E4"/>
    <w:rsid w:val="00FA7D19"/>
    <w:rsid w:val="00FC327C"/>
    <w:rsid w:val="00FC7717"/>
    <w:rsid w:val="00FD09DB"/>
    <w:rsid w:val="00FD63FB"/>
    <w:rsid w:val="00FE2D17"/>
    <w:rsid w:val="00FE3DA3"/>
    <w:rsid w:val="00FF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  <w:style w:type="character" w:styleId="aa">
    <w:name w:val="Subtle Emphasis"/>
    <w:basedOn w:val="a0"/>
    <w:uiPriority w:val="19"/>
    <w:qFormat/>
    <w:rsid w:val="00A934B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61BB1-E952-491F-B74E-F8AA1ED6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5</cp:revision>
  <cp:lastPrinted>2026-06-09T00:38:00Z</cp:lastPrinted>
  <dcterms:created xsi:type="dcterms:W3CDTF">2026-06-08T05:28:00Z</dcterms:created>
  <dcterms:modified xsi:type="dcterms:W3CDTF">2026-06-09T00:41:00Z</dcterms:modified>
</cp:coreProperties>
</file>